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E9061" w14:textId="7F52DBD9" w:rsidR="006752CA" w:rsidRPr="00A4399B" w:rsidRDefault="00986F95" w:rsidP="00986F95">
      <w:pPr>
        <w:pStyle w:val="Vahedeta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4399B">
        <w:rPr>
          <w:rFonts w:ascii="Arial" w:hAnsi="Arial" w:cs="Arial"/>
          <w:b/>
          <w:bCs/>
          <w:sz w:val="24"/>
          <w:szCs w:val="24"/>
        </w:rPr>
        <w:t>Lähta</w:t>
      </w:r>
      <w:proofErr w:type="spellEnd"/>
      <w:r w:rsidRPr="00A4399B">
        <w:rPr>
          <w:rFonts w:ascii="Arial" w:hAnsi="Arial" w:cs="Arial"/>
          <w:b/>
          <w:bCs/>
          <w:sz w:val="24"/>
          <w:szCs w:val="24"/>
        </w:rPr>
        <w:t xml:space="preserve"> Lageda DP eskiisi ettepanekud</w:t>
      </w:r>
    </w:p>
    <w:p w14:paraId="4A690C76" w14:textId="77777777" w:rsidR="00986F95" w:rsidRDefault="00986F95" w:rsidP="00986F95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7948"/>
        <w:gridCol w:w="3499"/>
      </w:tblGrid>
      <w:tr w:rsidR="00986F95" w14:paraId="3E7515F5" w14:textId="77777777" w:rsidTr="00986F95">
        <w:tc>
          <w:tcPr>
            <w:tcW w:w="562" w:type="dxa"/>
            <w:shd w:val="clear" w:color="auto" w:fill="E7E6E6" w:themeFill="background2"/>
          </w:tcPr>
          <w:p w14:paraId="1721471C" w14:textId="1E3F2507" w:rsidR="00986F95" w:rsidRPr="00764DBB" w:rsidRDefault="00986F95" w:rsidP="00986F95">
            <w:pPr>
              <w:pStyle w:val="Vahedet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DBB">
              <w:rPr>
                <w:rFonts w:ascii="Arial" w:hAnsi="Arial" w:cs="Arial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1985" w:type="dxa"/>
            <w:shd w:val="clear" w:color="auto" w:fill="E7E6E6" w:themeFill="background2"/>
          </w:tcPr>
          <w:p w14:paraId="5233878E" w14:textId="77777777" w:rsidR="00986F95" w:rsidRPr="00764DBB" w:rsidRDefault="00986F95" w:rsidP="00986F95">
            <w:pPr>
              <w:pStyle w:val="Vahedet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DBB">
              <w:rPr>
                <w:rFonts w:ascii="Arial" w:hAnsi="Arial" w:cs="Arial"/>
                <w:b/>
                <w:bCs/>
                <w:sz w:val="24"/>
                <w:szCs w:val="24"/>
              </w:rPr>
              <w:t>Esitaja</w:t>
            </w:r>
          </w:p>
          <w:p w14:paraId="72B1B930" w14:textId="429C3E3D" w:rsidR="00986F95" w:rsidRPr="00764DBB" w:rsidRDefault="00986F95" w:rsidP="00986F95">
            <w:pPr>
              <w:pStyle w:val="Vahedet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48" w:type="dxa"/>
            <w:shd w:val="clear" w:color="auto" w:fill="E7E6E6" w:themeFill="background2"/>
          </w:tcPr>
          <w:p w14:paraId="271A533C" w14:textId="6B6509EB" w:rsidR="00986F95" w:rsidRPr="00764DBB" w:rsidRDefault="00986F95" w:rsidP="00986F95">
            <w:pPr>
              <w:pStyle w:val="Vahedet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DBB">
              <w:rPr>
                <w:rFonts w:ascii="Arial" w:hAnsi="Arial" w:cs="Arial"/>
                <w:b/>
                <w:bCs/>
                <w:sz w:val="24"/>
                <w:szCs w:val="24"/>
              </w:rPr>
              <w:t>Ettepanek</w:t>
            </w:r>
          </w:p>
        </w:tc>
        <w:tc>
          <w:tcPr>
            <w:tcW w:w="3499" w:type="dxa"/>
            <w:shd w:val="clear" w:color="auto" w:fill="E7E6E6" w:themeFill="background2"/>
          </w:tcPr>
          <w:p w14:paraId="37F7F4BF" w14:textId="1B033320" w:rsidR="00986F95" w:rsidRPr="00764DBB" w:rsidRDefault="00760D83" w:rsidP="00986F95">
            <w:pPr>
              <w:pStyle w:val="Vahedet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KOV</w:t>
            </w:r>
            <w:r w:rsidR="00986F95" w:rsidRPr="00764D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321B3">
              <w:rPr>
                <w:rFonts w:ascii="Arial" w:hAnsi="Arial" w:cs="Arial"/>
                <w:b/>
                <w:bCs/>
                <w:sz w:val="24"/>
                <w:szCs w:val="24"/>
              </w:rPr>
              <w:t>esialgn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</w:t>
            </w:r>
            <w:r w:rsidR="00986F95" w:rsidRPr="00764DBB">
              <w:rPr>
                <w:rFonts w:ascii="Arial" w:hAnsi="Arial" w:cs="Arial"/>
                <w:b/>
                <w:bCs/>
                <w:sz w:val="24"/>
                <w:szCs w:val="24"/>
              </w:rPr>
              <w:t>seisukoht</w:t>
            </w:r>
          </w:p>
        </w:tc>
      </w:tr>
      <w:tr w:rsidR="00986F95" w14:paraId="59EE21A5" w14:textId="77777777" w:rsidTr="00986F95">
        <w:tc>
          <w:tcPr>
            <w:tcW w:w="562" w:type="dxa"/>
            <w:shd w:val="clear" w:color="auto" w:fill="F2F2F2" w:themeFill="background1" w:themeFillShade="F2"/>
          </w:tcPr>
          <w:p w14:paraId="2CD8384A" w14:textId="3C036E66" w:rsidR="00986F95" w:rsidRDefault="00986F95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8974422" w14:textId="77777777" w:rsidR="00986F95" w:rsidRDefault="00764DBB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Terviseamet</w:t>
            </w:r>
          </w:p>
          <w:p w14:paraId="7DF43204" w14:textId="33E5A23C" w:rsidR="00001F99" w:rsidRDefault="00001F99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(01.07.2024)</w:t>
            </w:r>
          </w:p>
        </w:tc>
        <w:tc>
          <w:tcPr>
            <w:tcW w:w="7948" w:type="dxa"/>
          </w:tcPr>
          <w:p w14:paraId="4BA7A535" w14:textId="77777777" w:rsidR="00986F95" w:rsidRDefault="00764DBB" w:rsidP="002C65B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Joogivee kvaliteet, siseruumide müratase, väliste allikate müratase, ehitus- ja kasutusaegsed vibratsioonitasemed peavad vastama vastavalt kehtestatud normidele.</w:t>
            </w:r>
            <w:r w:rsidR="002C6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5BB" w:rsidRPr="002C65BB">
              <w:rPr>
                <w:rFonts w:ascii="Times New Roman" w:hAnsi="Times New Roman" w:cs="Times New Roman"/>
                <w:sz w:val="24"/>
                <w:szCs w:val="24"/>
              </w:rPr>
              <w:t>Tehnoseadmed</w:t>
            </w:r>
            <w:r w:rsidR="002C6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5BB" w:rsidRPr="002C65BB">
              <w:rPr>
                <w:rFonts w:ascii="Times New Roman" w:hAnsi="Times New Roman" w:cs="Times New Roman"/>
                <w:sz w:val="24"/>
                <w:szCs w:val="24"/>
              </w:rPr>
              <w:t>(kliimaseadmed, ventilatsioon jms) valida ja</w:t>
            </w:r>
            <w:r w:rsidR="002C6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5BB" w:rsidRPr="002C65BB">
              <w:rPr>
                <w:rFonts w:ascii="Times New Roman" w:hAnsi="Times New Roman" w:cs="Times New Roman"/>
                <w:sz w:val="24"/>
                <w:szCs w:val="24"/>
              </w:rPr>
              <w:t>paigutada selliselt, et müratasemed</w:t>
            </w:r>
            <w:r w:rsidR="002C6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5BB" w:rsidRPr="002C65BB">
              <w:rPr>
                <w:rFonts w:ascii="Times New Roman" w:hAnsi="Times New Roman" w:cs="Times New Roman"/>
                <w:sz w:val="24"/>
                <w:szCs w:val="24"/>
              </w:rPr>
              <w:t>vastaksid</w:t>
            </w:r>
            <w:r w:rsidR="002C65BB">
              <w:rPr>
                <w:rFonts w:ascii="Times New Roman" w:hAnsi="Times New Roman" w:cs="Times New Roman"/>
                <w:sz w:val="24"/>
                <w:szCs w:val="24"/>
              </w:rPr>
              <w:t xml:space="preserve"> mürakategooria sihtväärtustele.</w:t>
            </w:r>
          </w:p>
          <w:p w14:paraId="28F4BD8F" w14:textId="77777777" w:rsidR="00D82A98" w:rsidRDefault="002C65BB" w:rsidP="002C65B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C65BB">
              <w:rPr>
                <w:rFonts w:ascii="Times New Roman" w:hAnsi="Times New Roman" w:cs="Times New Roman"/>
                <w:sz w:val="24"/>
                <w:szCs w:val="24"/>
              </w:rPr>
              <w:t xml:space="preserve">Planeeritava ala siseruumides tuleb tagada radooniohutu keskkond. </w:t>
            </w:r>
          </w:p>
          <w:p w14:paraId="5A123DDC" w14:textId="03A340AC" w:rsidR="002C65BB" w:rsidRDefault="002C65BB" w:rsidP="002C65B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C65BB">
              <w:rPr>
                <w:rFonts w:ascii="Times New Roman" w:hAnsi="Times New Roman" w:cs="Times New Roman"/>
                <w:sz w:val="24"/>
                <w:szCs w:val="24"/>
              </w:rPr>
              <w:t>Tähelepanu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5BB">
              <w:rPr>
                <w:rFonts w:ascii="Times New Roman" w:hAnsi="Times New Roman" w:cs="Times New Roman"/>
                <w:sz w:val="24"/>
                <w:szCs w:val="24"/>
              </w:rPr>
              <w:t>tuleb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5BB">
              <w:rPr>
                <w:rFonts w:ascii="Times New Roman" w:hAnsi="Times New Roman" w:cs="Times New Roman"/>
                <w:sz w:val="24"/>
                <w:szCs w:val="24"/>
              </w:rPr>
              <w:t>pöörata asjaolule, et radoonisisaldus ei ole pinnases ühtlaselt jaotunud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5BB">
              <w:rPr>
                <w:rFonts w:ascii="Times New Roman" w:hAnsi="Times New Roman" w:cs="Times New Roman"/>
                <w:sz w:val="24"/>
                <w:szCs w:val="24"/>
              </w:rPr>
              <w:t>ning elamutes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5BB">
              <w:rPr>
                <w:rFonts w:ascii="Times New Roman" w:hAnsi="Times New Roman" w:cs="Times New Roman"/>
                <w:sz w:val="24"/>
                <w:szCs w:val="24"/>
              </w:rPr>
              <w:t>ühiskasutusega hoonetes võib radoon põhjustada riski tervisele.</w:t>
            </w:r>
          </w:p>
          <w:p w14:paraId="0B8300B6" w14:textId="77777777" w:rsidR="002C65BB" w:rsidRDefault="002C65BB" w:rsidP="002C65B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C65BB">
              <w:rPr>
                <w:rFonts w:ascii="Times New Roman" w:hAnsi="Times New Roman" w:cs="Times New Roman"/>
                <w:sz w:val="24"/>
                <w:szCs w:val="24"/>
              </w:rPr>
              <w:t>Arvestada EVS-EN 17037:2019 „Päevavalgus hoonetes“ nõuetega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6C25A4" w14:textId="77777777" w:rsidR="002C65BB" w:rsidRDefault="002C65BB" w:rsidP="002C65B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C65BB">
              <w:rPr>
                <w:rFonts w:ascii="Times New Roman" w:hAnsi="Times New Roman" w:cs="Times New Roman"/>
                <w:sz w:val="24"/>
                <w:szCs w:val="24"/>
              </w:rPr>
              <w:t>Ennetamaks elektripaigaldistest tulenevaid võimalikke ohte, tuleks vältida hoonete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5BB">
              <w:rPr>
                <w:rFonts w:ascii="Times New Roman" w:hAnsi="Times New Roman" w:cs="Times New Roman"/>
                <w:sz w:val="24"/>
                <w:szCs w:val="24"/>
              </w:rPr>
              <w:t>planeerimist elektripaigaldiste kaitsevööndisse.</w:t>
            </w:r>
          </w:p>
          <w:p w14:paraId="1C2FBA11" w14:textId="0780A275" w:rsidR="002C65BB" w:rsidRDefault="002C65BB" w:rsidP="002C65B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1A3BBD1E" w14:textId="77777777" w:rsidR="00986F95" w:rsidRDefault="00986F95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1E654" w14:textId="04F18CE8" w:rsidR="0009617C" w:rsidRDefault="0009617C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Arvestada ehitustööde ja hoonete ekspluateerimise käigus</w:t>
            </w:r>
          </w:p>
        </w:tc>
      </w:tr>
      <w:tr w:rsidR="00986F95" w14:paraId="23BC0AED" w14:textId="77777777" w:rsidTr="00986F95">
        <w:tc>
          <w:tcPr>
            <w:tcW w:w="562" w:type="dxa"/>
            <w:shd w:val="clear" w:color="auto" w:fill="F2F2F2" w:themeFill="background1" w:themeFillShade="F2"/>
          </w:tcPr>
          <w:p w14:paraId="1F8D9DF8" w14:textId="6AAF215C" w:rsidR="00986F95" w:rsidRDefault="00986F95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270BB2C" w14:textId="77777777" w:rsidR="00986F95" w:rsidRDefault="00417B97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Maa-amet</w:t>
            </w:r>
          </w:p>
          <w:p w14:paraId="16F20392" w14:textId="4A9E50D5" w:rsidR="00001F99" w:rsidRDefault="00001F99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(02.07.2024)</w:t>
            </w:r>
          </w:p>
        </w:tc>
        <w:tc>
          <w:tcPr>
            <w:tcW w:w="7948" w:type="dxa"/>
          </w:tcPr>
          <w:p w14:paraId="1BC22F74" w14:textId="3E25C2EA" w:rsidR="00D82A98" w:rsidRDefault="00D82A98" w:rsidP="00D82A9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A98">
              <w:rPr>
                <w:rFonts w:ascii="Times New Roman" w:hAnsi="Times New Roman" w:cs="Times New Roman"/>
                <w:sz w:val="24"/>
                <w:szCs w:val="24"/>
              </w:rPr>
              <w:t>MaaRS</w:t>
            </w:r>
            <w:proofErr w:type="spellEnd"/>
            <w:r w:rsidRPr="00D82A98">
              <w:rPr>
                <w:rFonts w:ascii="Times New Roman" w:hAnsi="Times New Roman" w:cs="Times New Roman"/>
                <w:sz w:val="24"/>
                <w:szCs w:val="24"/>
              </w:rPr>
              <w:t xml:space="preserve"> § 25 lõike 3 kohaselt tuleb enne </w:t>
            </w:r>
            <w:proofErr w:type="spellStart"/>
            <w:r w:rsidRPr="00D82A98">
              <w:rPr>
                <w:rFonts w:ascii="Times New Roman" w:hAnsi="Times New Roman" w:cs="Times New Roman"/>
                <w:sz w:val="24"/>
                <w:szCs w:val="24"/>
              </w:rPr>
              <w:t>MaaRS</w:t>
            </w:r>
            <w:proofErr w:type="spellEnd"/>
            <w:r w:rsidRPr="00D82A98">
              <w:rPr>
                <w:rFonts w:ascii="Times New Roman" w:hAnsi="Times New Roman" w:cs="Times New Roman"/>
                <w:sz w:val="24"/>
                <w:szCs w:val="24"/>
              </w:rPr>
              <w:t xml:space="preserve"> alusel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A98">
              <w:rPr>
                <w:rFonts w:ascii="Times New Roman" w:hAnsi="Times New Roman" w:cs="Times New Roman"/>
                <w:sz w:val="24"/>
                <w:szCs w:val="24"/>
              </w:rPr>
              <w:t>munitsipaalomandisse antud maa võõrandamist ja hoonestusõigusega koormamist välja selgitada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A98">
              <w:rPr>
                <w:rFonts w:ascii="Times New Roman" w:hAnsi="Times New Roman" w:cs="Times New Roman"/>
                <w:sz w:val="24"/>
                <w:szCs w:val="24"/>
              </w:rPr>
              <w:t>kinnisasja vajalikkus riigile vastavalt riigivaraseaduse (edaspidi RVS) §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A98">
              <w:rPr>
                <w:rFonts w:ascii="Times New Roman" w:hAnsi="Times New Roman" w:cs="Times New Roman"/>
                <w:sz w:val="24"/>
                <w:szCs w:val="24"/>
              </w:rPr>
              <w:t>lõikele 1</w:t>
            </w:r>
            <w:r w:rsidR="00916511">
              <w:rPr>
                <w:rFonts w:ascii="Times New Roman" w:hAnsi="Times New Roman" w:cs="Times New Roman"/>
                <w:sz w:val="24"/>
                <w:szCs w:val="24"/>
              </w:rPr>
              <w:t>¹.</w:t>
            </w:r>
          </w:p>
          <w:p w14:paraId="403A6353" w14:textId="1B014BB5" w:rsidR="00986F95" w:rsidRDefault="00D82A98" w:rsidP="00D82A9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D82A98">
              <w:rPr>
                <w:rFonts w:ascii="Times New Roman" w:hAnsi="Times New Roman" w:cs="Times New Roman"/>
                <w:sz w:val="24"/>
                <w:szCs w:val="24"/>
              </w:rPr>
              <w:t>RVS §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A98">
              <w:rPr>
                <w:rFonts w:ascii="Times New Roman" w:hAnsi="Times New Roman" w:cs="Times New Roman"/>
                <w:sz w:val="24"/>
                <w:szCs w:val="24"/>
              </w:rPr>
              <w:t>lõike 1¹ kohaselt selgitab kohaliku omavalitsuse üksus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A98">
              <w:rPr>
                <w:rFonts w:ascii="Times New Roman" w:hAnsi="Times New Roman" w:cs="Times New Roman"/>
                <w:sz w:val="24"/>
                <w:szCs w:val="24"/>
              </w:rPr>
              <w:t>mõistliku aja jooksul enne RVS § 33 lõike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A98">
              <w:rPr>
                <w:rFonts w:ascii="Times New Roman" w:hAnsi="Times New Roman" w:cs="Times New Roman"/>
                <w:sz w:val="24"/>
                <w:szCs w:val="24"/>
              </w:rPr>
              <w:t xml:space="preserve">1 punkti 1 või 3¹ või </w:t>
            </w:r>
            <w:proofErr w:type="spellStart"/>
            <w:r w:rsidRPr="00D82A98">
              <w:rPr>
                <w:rFonts w:ascii="Times New Roman" w:hAnsi="Times New Roman" w:cs="Times New Roman"/>
                <w:sz w:val="24"/>
                <w:szCs w:val="24"/>
              </w:rPr>
              <w:t>MaaRS</w:t>
            </w:r>
            <w:proofErr w:type="spellEnd"/>
            <w:r w:rsidRPr="00D82A98">
              <w:rPr>
                <w:rFonts w:ascii="Times New Roman" w:hAnsi="Times New Roman" w:cs="Times New Roman"/>
                <w:sz w:val="24"/>
                <w:szCs w:val="24"/>
              </w:rPr>
              <w:t xml:space="preserve"> alusel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A98">
              <w:rPr>
                <w:rFonts w:ascii="Times New Roman" w:hAnsi="Times New Roman" w:cs="Times New Roman"/>
                <w:sz w:val="24"/>
                <w:szCs w:val="24"/>
              </w:rPr>
              <w:t>omandatud kinnisasja võõrandamist või hoonestusõigusega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A98">
              <w:rPr>
                <w:rFonts w:ascii="Times New Roman" w:hAnsi="Times New Roman" w:cs="Times New Roman"/>
                <w:sz w:val="24"/>
                <w:szCs w:val="24"/>
              </w:rPr>
              <w:t>koormamist välja kinnisasja vajalikkuse riigile. Palume arvestada, et riigil on õigus kinnisasja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A98">
              <w:rPr>
                <w:rFonts w:ascii="Times New Roman" w:hAnsi="Times New Roman" w:cs="Times New Roman"/>
                <w:sz w:val="24"/>
                <w:szCs w:val="24"/>
              </w:rPr>
              <w:t>tasuta omandamiseks kui see on vajalik tema ülesannete täitmiseks. Riik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A98">
              <w:rPr>
                <w:rFonts w:ascii="Times New Roman" w:hAnsi="Times New Roman" w:cs="Times New Roman"/>
                <w:sz w:val="24"/>
                <w:szCs w:val="24"/>
              </w:rPr>
              <w:t>hüvitab sellele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A98">
              <w:rPr>
                <w:rFonts w:ascii="Times New Roman" w:hAnsi="Times New Roman" w:cs="Times New Roman"/>
                <w:sz w:val="24"/>
                <w:szCs w:val="24"/>
              </w:rPr>
              <w:t>kinnisasjale tehtud kasulikud kulutused, kui nendega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A98">
              <w:rPr>
                <w:rFonts w:ascii="Times New Roman" w:hAnsi="Times New Roman" w:cs="Times New Roman"/>
                <w:sz w:val="24"/>
                <w:szCs w:val="24"/>
              </w:rPr>
              <w:t>kinnisasja oluliselt parendatud. Palume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A98">
              <w:rPr>
                <w:rFonts w:ascii="Times New Roman" w:hAnsi="Times New Roman" w:cs="Times New Roman"/>
                <w:sz w:val="24"/>
                <w:szCs w:val="24"/>
              </w:rPr>
              <w:t>hoida Maa-ametit kursis detailplaneeringu edasise menetlemisega.</w:t>
            </w:r>
          </w:p>
          <w:p w14:paraId="5D7FAEA9" w14:textId="3C650BFD" w:rsidR="00D82A98" w:rsidRDefault="00D82A98" w:rsidP="00D82A9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3B8318AF" w14:textId="77777777" w:rsidR="00986F95" w:rsidRDefault="00986F95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C7332" w14:textId="39D0AB13" w:rsidR="004D0EDA" w:rsidRDefault="004D0EDA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Arvestada</w:t>
            </w:r>
            <w:r w:rsidR="00E3415D">
              <w:rPr>
                <w:rFonts w:ascii="Times New Roman" w:hAnsi="Times New Roman" w:cs="Times New Roman"/>
                <w:sz w:val="24"/>
                <w:szCs w:val="24"/>
              </w:rPr>
              <w:t>, kui KOV hakkab reaalselt krunte võõrandama</w:t>
            </w:r>
          </w:p>
        </w:tc>
      </w:tr>
      <w:tr w:rsidR="00986F95" w14:paraId="1032A3C5" w14:textId="77777777" w:rsidTr="00986F95">
        <w:tc>
          <w:tcPr>
            <w:tcW w:w="562" w:type="dxa"/>
            <w:shd w:val="clear" w:color="auto" w:fill="F2F2F2" w:themeFill="background1" w:themeFillShade="F2"/>
          </w:tcPr>
          <w:p w14:paraId="7FFBDDB1" w14:textId="5B9FAC40" w:rsidR="00986F95" w:rsidRDefault="00986F95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2895611" w14:textId="77777777" w:rsidR="00986F95" w:rsidRDefault="00E860C0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Kunda Vesi</w:t>
            </w:r>
          </w:p>
          <w:p w14:paraId="7C74C6F5" w14:textId="4A88BB80" w:rsidR="00E850D6" w:rsidRDefault="00E850D6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(17.07.</w:t>
            </w:r>
            <w:r w:rsidR="00EF089B">
              <w:rPr>
                <w:rFonts w:ascii="Times New Roman" w:hAnsi="Times New Roman" w:cs="Times New Roman"/>
                <w:sz w:val="24"/>
                <w:szCs w:val="24"/>
              </w:rPr>
              <w:t>2024)</w:t>
            </w:r>
          </w:p>
        </w:tc>
        <w:tc>
          <w:tcPr>
            <w:tcW w:w="7948" w:type="dxa"/>
          </w:tcPr>
          <w:p w14:paraId="07025E14" w14:textId="6E2D6DA8" w:rsidR="006F0E3E" w:rsidRPr="006F0E3E" w:rsidRDefault="00D747DA" w:rsidP="006F0E3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DP-t</w:t>
            </w:r>
            <w:r w:rsidR="006F0E3E" w:rsidRPr="006F0E3E">
              <w:rPr>
                <w:rFonts w:ascii="Times New Roman" w:hAnsi="Times New Roman" w:cs="Times New Roman"/>
                <w:sz w:val="24"/>
                <w:szCs w:val="24"/>
              </w:rPr>
              <w:t xml:space="preserve"> läbib Kunda ühiskanalisatsioonitorustik (kollektor) ja ehkki kaitseala on 2 meetrit, siis avarii korral peab olema tagatud igakülgne ligipääs. Rõhutame, et sealt liigub läbi 90% linna kanalisatsioonist. </w:t>
            </w:r>
          </w:p>
          <w:p w14:paraId="00DFE03D" w14:textId="77777777" w:rsidR="006F0E3E" w:rsidRPr="006F0E3E" w:rsidRDefault="006F0E3E" w:rsidP="006F0E3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6F0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Ilmselt oleks mõistlikum vältida kruntide paigutamist kanalisatsioonitorustikule ja jätta kanalisatsioonitorustik haljasriba alla. Ka ei ole mõistlik renoveeritud Spordi tänava kanalisatsioonitorustiku likvideerimine. </w:t>
            </w:r>
          </w:p>
          <w:p w14:paraId="5984E7DB" w14:textId="77777777" w:rsidR="00986F95" w:rsidRDefault="006F0E3E" w:rsidP="006F0E3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6F0E3E">
              <w:rPr>
                <w:rFonts w:ascii="Times New Roman" w:hAnsi="Times New Roman" w:cs="Times New Roman"/>
                <w:sz w:val="24"/>
                <w:szCs w:val="24"/>
              </w:rPr>
              <w:t>Juhime ka tähelepanu et planeeringu ala läheduses asub Kunda linna</w:t>
            </w:r>
            <w:r w:rsidR="00FC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3E">
              <w:rPr>
                <w:rFonts w:ascii="Times New Roman" w:hAnsi="Times New Roman" w:cs="Times New Roman"/>
                <w:sz w:val="24"/>
                <w:szCs w:val="24"/>
              </w:rPr>
              <w:t>reoveepuhasti (aadressil Lepiku tee 20), millest tulenevalt ebasoodsate</w:t>
            </w:r>
            <w:r w:rsidR="00FC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3E">
              <w:rPr>
                <w:rFonts w:ascii="Times New Roman" w:hAnsi="Times New Roman" w:cs="Times New Roman"/>
                <w:sz w:val="24"/>
                <w:szCs w:val="24"/>
              </w:rPr>
              <w:t>tuuleolude korral võib reoveesette stabiliseerimise käigus tekkiv</w:t>
            </w:r>
            <w:r w:rsidR="00FC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3E">
              <w:rPr>
                <w:rFonts w:ascii="Times New Roman" w:hAnsi="Times New Roman" w:cs="Times New Roman"/>
                <w:sz w:val="24"/>
                <w:szCs w:val="24"/>
              </w:rPr>
              <w:t>käärimisprotsessi lõhn levida planeeritavate elamukruntideni (</w:t>
            </w:r>
            <w:proofErr w:type="spellStart"/>
            <w:r w:rsidRPr="006F0E3E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  <w:proofErr w:type="spellEnd"/>
            <w:r w:rsidRPr="006F0E3E">
              <w:rPr>
                <w:rFonts w:ascii="Times New Roman" w:hAnsi="Times New Roman" w:cs="Times New Roman"/>
                <w:sz w:val="24"/>
                <w:szCs w:val="24"/>
              </w:rPr>
              <w:t xml:space="preserve"> 1-pos 7).</w:t>
            </w:r>
            <w:r w:rsidR="00FC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3E">
              <w:rPr>
                <w:rFonts w:ascii="Times New Roman" w:hAnsi="Times New Roman" w:cs="Times New Roman"/>
                <w:sz w:val="24"/>
                <w:szCs w:val="24"/>
              </w:rPr>
              <w:t>Kui</w:t>
            </w:r>
            <w:r w:rsidR="00FC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3E">
              <w:rPr>
                <w:rFonts w:ascii="Times New Roman" w:hAnsi="Times New Roman" w:cs="Times New Roman"/>
                <w:sz w:val="24"/>
                <w:szCs w:val="24"/>
              </w:rPr>
              <w:t>viia kruntide võimalik müügihind liigsete kulutustega kõrgeks (aga kollektori</w:t>
            </w:r>
            <w:r w:rsidR="00FC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3E">
              <w:rPr>
                <w:rFonts w:ascii="Times New Roman" w:hAnsi="Times New Roman" w:cs="Times New Roman"/>
                <w:sz w:val="24"/>
                <w:szCs w:val="24"/>
              </w:rPr>
              <w:t>ümberehitamine seda oleks), ei pruugi ostuhuvi olla liiga suur või hilisem</w:t>
            </w:r>
            <w:r w:rsidR="00FC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3E">
              <w:rPr>
                <w:rFonts w:ascii="Times New Roman" w:hAnsi="Times New Roman" w:cs="Times New Roman"/>
                <w:sz w:val="24"/>
                <w:szCs w:val="24"/>
              </w:rPr>
              <w:t>elamute ehitamine liiga aktiivne. Ka ei sooviks inimesed osta krunti, mida läbib</w:t>
            </w:r>
            <w:r w:rsidR="00FC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3E">
              <w:rPr>
                <w:rFonts w:ascii="Times New Roman" w:hAnsi="Times New Roman" w:cs="Times New Roman"/>
                <w:sz w:val="24"/>
                <w:szCs w:val="24"/>
              </w:rPr>
              <w:t>linna suurim kanalisatsioonitorustik.</w:t>
            </w:r>
          </w:p>
          <w:p w14:paraId="2701A85B" w14:textId="2F8CAA85" w:rsidR="00FC0739" w:rsidRDefault="00FC0739" w:rsidP="006F0E3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0DC512AA" w14:textId="77777777" w:rsidR="00986F95" w:rsidRDefault="00986F95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46E93" w14:textId="543BD8DF" w:rsidR="00BC6DB4" w:rsidRDefault="00BC6DB4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Arvestada ja teha planeeringu </w:t>
            </w:r>
            <w:r w:rsidR="00371B21">
              <w:rPr>
                <w:rFonts w:ascii="Times New Roman" w:hAnsi="Times New Roman" w:cs="Times New Roman"/>
                <w:sz w:val="24"/>
                <w:szCs w:val="24"/>
              </w:rPr>
              <w:t>eskiisis muudatused</w:t>
            </w:r>
          </w:p>
        </w:tc>
      </w:tr>
      <w:tr w:rsidR="00986F95" w14:paraId="75A7ACF9" w14:textId="77777777" w:rsidTr="00986F95">
        <w:tc>
          <w:tcPr>
            <w:tcW w:w="562" w:type="dxa"/>
            <w:shd w:val="clear" w:color="auto" w:fill="F2F2F2" w:themeFill="background1" w:themeFillShade="F2"/>
          </w:tcPr>
          <w:p w14:paraId="01C1700C" w14:textId="179FE753" w:rsidR="00986F95" w:rsidRDefault="00986F95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4F427AA" w14:textId="77777777" w:rsidR="00986F95" w:rsidRDefault="00986F95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14:paraId="55A2A483" w14:textId="77777777" w:rsidR="00986F95" w:rsidRDefault="00986F95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5B8E1AD1" w14:textId="77777777" w:rsidR="00986F95" w:rsidRDefault="00986F95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95" w14:paraId="4D0051BE" w14:textId="77777777" w:rsidTr="00986F95">
        <w:tc>
          <w:tcPr>
            <w:tcW w:w="562" w:type="dxa"/>
            <w:shd w:val="clear" w:color="auto" w:fill="F2F2F2" w:themeFill="background1" w:themeFillShade="F2"/>
          </w:tcPr>
          <w:p w14:paraId="3CA3BF9F" w14:textId="6C7A06FC" w:rsidR="00986F95" w:rsidRDefault="00986F95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0FB17A4" w14:textId="77777777" w:rsidR="00986F95" w:rsidRDefault="00986F95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14:paraId="6BC6E975" w14:textId="77777777" w:rsidR="00986F95" w:rsidRDefault="00986F95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48F72983" w14:textId="77777777" w:rsidR="00986F95" w:rsidRDefault="00986F95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95" w14:paraId="77FEC92D" w14:textId="77777777" w:rsidTr="00986F95">
        <w:tc>
          <w:tcPr>
            <w:tcW w:w="562" w:type="dxa"/>
            <w:shd w:val="clear" w:color="auto" w:fill="F2F2F2" w:themeFill="background1" w:themeFillShade="F2"/>
          </w:tcPr>
          <w:p w14:paraId="204CC6FC" w14:textId="206AD55B" w:rsidR="00986F95" w:rsidRDefault="00986F95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C7A66AC" w14:textId="77777777" w:rsidR="00986F95" w:rsidRDefault="00986F95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14:paraId="3EC1A602" w14:textId="77777777" w:rsidR="00986F95" w:rsidRDefault="00986F95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260A662E" w14:textId="77777777" w:rsidR="00986F95" w:rsidRDefault="00986F95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95" w14:paraId="309F6CF4" w14:textId="77777777" w:rsidTr="00986F95">
        <w:tc>
          <w:tcPr>
            <w:tcW w:w="562" w:type="dxa"/>
            <w:shd w:val="clear" w:color="auto" w:fill="F2F2F2" w:themeFill="background1" w:themeFillShade="F2"/>
          </w:tcPr>
          <w:p w14:paraId="0478B4B8" w14:textId="3D87B570" w:rsidR="00986F95" w:rsidRDefault="00986F95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5B9A394" w14:textId="77777777" w:rsidR="00986F95" w:rsidRDefault="00986F95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14:paraId="5DC52919" w14:textId="77777777" w:rsidR="00986F95" w:rsidRDefault="00986F95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6FC69718" w14:textId="77777777" w:rsidR="00986F95" w:rsidRDefault="00986F95" w:rsidP="00986F9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4909A" w14:textId="77777777" w:rsidR="00986F95" w:rsidRPr="00986F95" w:rsidRDefault="00986F95" w:rsidP="00986F9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D2B6D77" w14:textId="77777777" w:rsidR="00986F95" w:rsidRPr="00986F95" w:rsidRDefault="00986F95" w:rsidP="00986F9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DC097DC" w14:textId="77777777" w:rsidR="00986F95" w:rsidRPr="00986F95" w:rsidRDefault="00986F95">
      <w:pPr>
        <w:rPr>
          <w:rFonts w:ascii="Times New Roman" w:hAnsi="Times New Roman" w:cs="Times New Roman"/>
          <w:sz w:val="24"/>
          <w:szCs w:val="24"/>
        </w:rPr>
      </w:pPr>
    </w:p>
    <w:sectPr w:rsidR="00986F95" w:rsidRPr="00986F95" w:rsidSect="00986F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95"/>
    <w:rsid w:val="00001F99"/>
    <w:rsid w:val="0009617C"/>
    <w:rsid w:val="00201F89"/>
    <w:rsid w:val="002C65BB"/>
    <w:rsid w:val="00371B21"/>
    <w:rsid w:val="00417B97"/>
    <w:rsid w:val="004D0EDA"/>
    <w:rsid w:val="005F0949"/>
    <w:rsid w:val="006752CA"/>
    <w:rsid w:val="006F0E3E"/>
    <w:rsid w:val="00760D83"/>
    <w:rsid w:val="00764DBB"/>
    <w:rsid w:val="00916511"/>
    <w:rsid w:val="009525C9"/>
    <w:rsid w:val="00986F95"/>
    <w:rsid w:val="00A4399B"/>
    <w:rsid w:val="00BC6DB4"/>
    <w:rsid w:val="00C464FC"/>
    <w:rsid w:val="00C80881"/>
    <w:rsid w:val="00D747DA"/>
    <w:rsid w:val="00D82A98"/>
    <w:rsid w:val="00E3415D"/>
    <w:rsid w:val="00E850D6"/>
    <w:rsid w:val="00E860C0"/>
    <w:rsid w:val="00EF089B"/>
    <w:rsid w:val="00F321B3"/>
    <w:rsid w:val="00FC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D3DB"/>
  <w15:chartTrackingRefBased/>
  <w15:docId w15:val="{106D00CB-37C1-47FF-9217-C882C326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986F95"/>
    <w:pPr>
      <w:spacing w:after="0" w:line="240" w:lineRule="auto"/>
    </w:pPr>
  </w:style>
  <w:style w:type="table" w:styleId="Kontuurtabel">
    <w:name w:val="Table Grid"/>
    <w:basedOn w:val="Normaaltabel"/>
    <w:uiPriority w:val="39"/>
    <w:rsid w:val="0098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419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Laast | Viru-Nigula.ee</dc:creator>
  <cp:keywords/>
  <dc:description/>
  <cp:lastModifiedBy>Marit Laast | Viru-Nigula.ee</cp:lastModifiedBy>
  <cp:revision>23</cp:revision>
  <dcterms:created xsi:type="dcterms:W3CDTF">2024-07-18T05:32:00Z</dcterms:created>
  <dcterms:modified xsi:type="dcterms:W3CDTF">2024-12-16T07:19:00Z</dcterms:modified>
</cp:coreProperties>
</file>