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C20" w:rsidRPr="000F3685" w:rsidRDefault="00924C20" w:rsidP="00924C20">
      <w:pPr>
        <w:ind w:left="360"/>
        <w:jc w:val="center"/>
        <w:rPr>
          <w:b/>
          <w:sz w:val="28"/>
          <w:szCs w:val="28"/>
          <w:lang w:val="et-EE"/>
        </w:rPr>
      </w:pPr>
      <w:r w:rsidRPr="000F3685">
        <w:rPr>
          <w:b/>
          <w:sz w:val="28"/>
          <w:szCs w:val="28"/>
          <w:lang w:val="et-EE"/>
        </w:rPr>
        <w:t>Viru-Nigula Vallavolikogu</w:t>
      </w:r>
    </w:p>
    <w:p w:rsidR="00924C20" w:rsidRPr="000F3685" w:rsidRDefault="00924C20" w:rsidP="00924C20">
      <w:pPr>
        <w:ind w:left="360"/>
        <w:jc w:val="center"/>
        <w:rPr>
          <w:b/>
          <w:sz w:val="28"/>
          <w:szCs w:val="28"/>
          <w:lang w:val="et-EE"/>
        </w:rPr>
      </w:pPr>
      <w:r w:rsidRPr="000F3685">
        <w:rPr>
          <w:b/>
          <w:sz w:val="28"/>
          <w:szCs w:val="28"/>
          <w:lang w:val="et-EE"/>
        </w:rPr>
        <w:t>Viru-Nigula Vallavalitsus</w:t>
      </w:r>
    </w:p>
    <w:p w:rsidR="00924C20" w:rsidRDefault="00924C20" w:rsidP="00924C20">
      <w:pPr>
        <w:ind w:left="360"/>
        <w:jc w:val="center"/>
        <w:rPr>
          <w:rFonts w:ascii="Trebuchet MS" w:hAnsi="Trebuchet MS"/>
          <w:sz w:val="28"/>
          <w:lang w:val="et-EE"/>
        </w:rPr>
      </w:pPr>
    </w:p>
    <w:p w:rsidR="00924C20" w:rsidRPr="000A0164" w:rsidRDefault="00924C20" w:rsidP="00924C20">
      <w:pPr>
        <w:ind w:left="360"/>
        <w:jc w:val="center"/>
        <w:rPr>
          <w:rFonts w:cs="Calibri"/>
          <w:b/>
          <w:lang w:val="et-EE"/>
        </w:rPr>
      </w:pPr>
    </w:p>
    <w:p w:rsidR="00924C20" w:rsidRPr="000A0164" w:rsidRDefault="00924C20" w:rsidP="00393E71">
      <w:pPr>
        <w:jc w:val="center"/>
        <w:rPr>
          <w:rFonts w:cs="Calibri"/>
          <w:b/>
          <w:lang w:val="et-EE"/>
        </w:rPr>
      </w:pPr>
      <w:r>
        <w:rPr>
          <w:rFonts w:cs="Calibri"/>
          <w:b/>
          <w:noProof/>
          <w:lang w:val="et-EE" w:eastAsia="et-EE"/>
        </w:rPr>
        <w:drawing>
          <wp:inline distT="0" distB="0" distL="0" distR="0">
            <wp:extent cx="708025" cy="845820"/>
            <wp:effectExtent l="19050" t="0" r="0" b="0"/>
            <wp:docPr id="6" name="Pilt 1" descr="C:\Users\Riks\AppData\Local\Temp\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C:\Users\Riks\AppData\Local\Temp\image001.png"/>
                    <pic:cNvPicPr>
                      <a:picLocks noChangeAspect="1" noChangeArrowheads="1"/>
                    </pic:cNvPicPr>
                  </pic:nvPicPr>
                  <pic:blipFill>
                    <a:blip r:embed="rId8" cstate="print"/>
                    <a:srcRect/>
                    <a:stretch>
                      <a:fillRect/>
                    </a:stretch>
                  </pic:blipFill>
                  <pic:spPr bwMode="auto">
                    <a:xfrm>
                      <a:off x="0" y="0"/>
                      <a:ext cx="708025" cy="845820"/>
                    </a:xfrm>
                    <a:prstGeom prst="rect">
                      <a:avLst/>
                    </a:prstGeom>
                    <a:noFill/>
                    <a:ln w="9525">
                      <a:noFill/>
                      <a:miter lim="800000"/>
                      <a:headEnd/>
                      <a:tailEnd/>
                    </a:ln>
                  </pic:spPr>
                </pic:pic>
              </a:graphicData>
            </a:graphic>
          </wp:inline>
        </w:drawing>
      </w:r>
    </w:p>
    <w:p w:rsidR="00924C20" w:rsidRDefault="00924C20" w:rsidP="00924C20">
      <w:pPr>
        <w:ind w:left="360"/>
        <w:jc w:val="center"/>
        <w:rPr>
          <w:rFonts w:ascii="Verdana" w:hAnsi="Verdana" w:cs="Calibri"/>
          <w:b/>
          <w:lang w:val="et-EE"/>
        </w:rPr>
      </w:pPr>
    </w:p>
    <w:p w:rsidR="00924C20" w:rsidRDefault="00924C20" w:rsidP="00924C20">
      <w:pPr>
        <w:ind w:left="360"/>
        <w:jc w:val="center"/>
        <w:rPr>
          <w:rFonts w:ascii="Verdana" w:hAnsi="Verdana" w:cs="Calibri"/>
          <w:b/>
          <w:lang w:val="et-EE"/>
        </w:rPr>
      </w:pPr>
    </w:p>
    <w:p w:rsidR="00393E71" w:rsidRDefault="00393E71" w:rsidP="00924C20">
      <w:pPr>
        <w:ind w:left="360"/>
        <w:jc w:val="center"/>
        <w:rPr>
          <w:b/>
          <w:sz w:val="40"/>
          <w:szCs w:val="40"/>
          <w:lang w:val="et-EE"/>
        </w:rPr>
      </w:pPr>
    </w:p>
    <w:p w:rsidR="00924C20" w:rsidRDefault="00924C20" w:rsidP="00393E71">
      <w:pPr>
        <w:jc w:val="center"/>
        <w:rPr>
          <w:b/>
          <w:sz w:val="40"/>
          <w:szCs w:val="40"/>
          <w:lang w:val="et-EE"/>
        </w:rPr>
      </w:pPr>
      <w:r w:rsidRPr="000F3685">
        <w:rPr>
          <w:b/>
          <w:sz w:val="40"/>
          <w:szCs w:val="40"/>
          <w:lang w:val="et-EE"/>
        </w:rPr>
        <w:t xml:space="preserve">VIRU-NIGULA VALLA </w:t>
      </w:r>
      <w:r w:rsidRPr="00025237">
        <w:rPr>
          <w:b/>
          <w:sz w:val="40"/>
          <w:szCs w:val="40"/>
          <w:lang w:val="et-EE"/>
        </w:rPr>
        <w:t xml:space="preserve">EELARVESTRATEEGIA </w:t>
      </w:r>
      <w:r w:rsidR="000F3685" w:rsidRPr="00025237">
        <w:rPr>
          <w:b/>
          <w:sz w:val="40"/>
          <w:szCs w:val="40"/>
          <w:lang w:val="et-EE"/>
        </w:rPr>
        <w:t>2019-202</w:t>
      </w:r>
      <w:r w:rsidR="00025237" w:rsidRPr="00025237">
        <w:rPr>
          <w:b/>
          <w:sz w:val="40"/>
          <w:szCs w:val="40"/>
          <w:lang w:val="et-EE"/>
        </w:rPr>
        <w:t>3</w:t>
      </w:r>
    </w:p>
    <w:p w:rsidR="00393E71" w:rsidRPr="000F3685" w:rsidRDefault="00393E71" w:rsidP="00924C20">
      <w:pPr>
        <w:ind w:left="360"/>
        <w:jc w:val="center"/>
        <w:rPr>
          <w:b/>
          <w:sz w:val="40"/>
          <w:szCs w:val="40"/>
          <w:lang w:val="et-EE"/>
        </w:rPr>
      </w:pPr>
    </w:p>
    <w:p w:rsidR="00924C20" w:rsidRDefault="00924C20" w:rsidP="00924C20">
      <w:pPr>
        <w:ind w:left="360"/>
        <w:jc w:val="center"/>
        <w:rPr>
          <w:rFonts w:ascii="Verdana" w:hAnsi="Verdana" w:cs="Calibri"/>
          <w:b/>
          <w:lang w:val="et-EE"/>
        </w:rPr>
      </w:pPr>
    </w:p>
    <w:p w:rsidR="00924C20" w:rsidRPr="003F35EC" w:rsidRDefault="00924C20" w:rsidP="00924C20">
      <w:pPr>
        <w:jc w:val="center"/>
        <w:rPr>
          <w:rFonts w:ascii="Verdana" w:hAnsi="Verdana" w:cs="Calibri"/>
          <w:b/>
          <w:lang w:val="et-EE"/>
        </w:rPr>
      </w:pPr>
      <w:r>
        <w:rPr>
          <w:rFonts w:ascii="Verdana" w:hAnsi="Verdana" w:cs="Calibri"/>
          <w:b/>
          <w:lang w:val="et-EE"/>
        </w:rPr>
        <w:t xml:space="preserve">  </w:t>
      </w:r>
    </w:p>
    <w:p w:rsidR="00924C20" w:rsidRDefault="00924C20" w:rsidP="00924C20">
      <w:pPr>
        <w:jc w:val="center"/>
        <w:rPr>
          <w:rFonts w:cs="Calibri"/>
          <w:lang w:val="et-EE"/>
        </w:rPr>
      </w:pPr>
      <w:r>
        <w:rPr>
          <w:rFonts w:cs="Calibri"/>
          <w:noProof/>
          <w:lang w:val="et-EE" w:eastAsia="et-EE"/>
        </w:rPr>
        <w:drawing>
          <wp:inline distT="0" distB="0" distL="0" distR="0">
            <wp:extent cx="3285067" cy="2463800"/>
            <wp:effectExtent l="19050" t="0" r="0" b="0"/>
            <wp:docPr id="1" name="Pilt 1" descr="C:\Users\Riks\AppData\Local\Temp\Viru-Nigula_va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iks\AppData\Local\Temp\Viru-Nigula_vald.jpg"/>
                    <pic:cNvPicPr>
                      <a:picLocks noChangeAspect="1" noChangeArrowheads="1"/>
                    </pic:cNvPicPr>
                  </pic:nvPicPr>
                  <pic:blipFill>
                    <a:blip r:embed="rId9" cstate="print"/>
                    <a:srcRect/>
                    <a:stretch>
                      <a:fillRect/>
                    </a:stretch>
                  </pic:blipFill>
                  <pic:spPr bwMode="auto">
                    <a:xfrm>
                      <a:off x="0" y="0"/>
                      <a:ext cx="3289334" cy="2467000"/>
                    </a:xfrm>
                    <a:prstGeom prst="rect">
                      <a:avLst/>
                    </a:prstGeom>
                    <a:noFill/>
                    <a:ln w="9525">
                      <a:noFill/>
                      <a:miter lim="800000"/>
                      <a:headEnd/>
                      <a:tailEnd/>
                    </a:ln>
                  </pic:spPr>
                </pic:pic>
              </a:graphicData>
            </a:graphic>
          </wp:inline>
        </w:drawing>
      </w:r>
    </w:p>
    <w:p w:rsidR="00924C20" w:rsidRDefault="00924C20" w:rsidP="00924C20">
      <w:pPr>
        <w:jc w:val="right"/>
        <w:rPr>
          <w:rFonts w:cs="Calibri"/>
          <w:lang w:val="et-EE"/>
        </w:rPr>
      </w:pPr>
    </w:p>
    <w:p w:rsidR="00924C20" w:rsidRDefault="00924C20" w:rsidP="00924C20">
      <w:pPr>
        <w:jc w:val="right"/>
        <w:rPr>
          <w:rFonts w:cs="Calibri"/>
          <w:lang w:val="et-EE"/>
        </w:rPr>
      </w:pPr>
    </w:p>
    <w:p w:rsidR="00924C20" w:rsidRDefault="00924C20" w:rsidP="00924C20">
      <w:pPr>
        <w:jc w:val="right"/>
        <w:rPr>
          <w:rFonts w:ascii="Verdana" w:hAnsi="Verdana" w:cs="Calibri"/>
          <w:lang w:val="et-EE"/>
        </w:rPr>
      </w:pPr>
    </w:p>
    <w:p w:rsidR="00924C20" w:rsidRDefault="00924C20" w:rsidP="00924C20">
      <w:pPr>
        <w:jc w:val="right"/>
        <w:rPr>
          <w:rFonts w:ascii="Verdana" w:hAnsi="Verdana" w:cs="Calibri"/>
          <w:lang w:val="et-EE"/>
        </w:rPr>
      </w:pPr>
    </w:p>
    <w:p w:rsidR="00924C20" w:rsidRDefault="00924C20" w:rsidP="00924C20">
      <w:pPr>
        <w:jc w:val="right"/>
        <w:rPr>
          <w:rFonts w:ascii="Verdana" w:hAnsi="Verdana" w:cs="Calibri"/>
          <w:lang w:val="et-EE"/>
        </w:rPr>
      </w:pPr>
    </w:p>
    <w:p w:rsidR="00924C20" w:rsidRDefault="00924C20" w:rsidP="00924C20">
      <w:pPr>
        <w:jc w:val="right"/>
        <w:rPr>
          <w:rFonts w:ascii="Verdana" w:hAnsi="Verdana" w:cs="Calibri"/>
          <w:lang w:val="et-EE"/>
        </w:rPr>
      </w:pPr>
    </w:p>
    <w:p w:rsidR="00E95D36" w:rsidRDefault="00E95D36" w:rsidP="00924C20">
      <w:pPr>
        <w:jc w:val="center"/>
        <w:rPr>
          <w:rFonts w:ascii="Trebuchet MS" w:hAnsi="Trebuchet MS"/>
          <w:b/>
          <w:lang w:val="et-EE"/>
        </w:rPr>
      </w:pPr>
    </w:p>
    <w:p w:rsidR="00AA250F" w:rsidRDefault="00AA250F" w:rsidP="00924C20">
      <w:pPr>
        <w:jc w:val="center"/>
        <w:rPr>
          <w:rFonts w:ascii="Trebuchet MS" w:hAnsi="Trebuchet MS"/>
          <w:b/>
          <w:lang w:val="et-EE"/>
        </w:rPr>
      </w:pPr>
    </w:p>
    <w:p w:rsidR="00025237" w:rsidRDefault="00025237" w:rsidP="00924C20">
      <w:pPr>
        <w:jc w:val="center"/>
        <w:rPr>
          <w:rFonts w:ascii="Trebuchet MS" w:hAnsi="Trebuchet MS"/>
          <w:b/>
          <w:lang w:val="et-EE"/>
        </w:rPr>
      </w:pPr>
    </w:p>
    <w:p w:rsidR="00AA250F" w:rsidRDefault="00AA250F" w:rsidP="00924C20">
      <w:pPr>
        <w:jc w:val="center"/>
        <w:rPr>
          <w:rFonts w:ascii="Trebuchet MS" w:hAnsi="Trebuchet MS"/>
          <w:b/>
          <w:lang w:val="et-EE"/>
        </w:rPr>
      </w:pPr>
    </w:p>
    <w:p w:rsidR="00924C20" w:rsidRPr="008C2FB1" w:rsidRDefault="00924C20" w:rsidP="00025237">
      <w:pPr>
        <w:jc w:val="center"/>
        <w:rPr>
          <w:b/>
          <w:sz w:val="28"/>
          <w:szCs w:val="28"/>
          <w:lang w:val="et-EE"/>
        </w:rPr>
      </w:pPr>
      <w:r w:rsidRPr="008C2FB1">
        <w:rPr>
          <w:b/>
          <w:sz w:val="28"/>
          <w:szCs w:val="28"/>
          <w:lang w:val="et-EE"/>
        </w:rPr>
        <w:t>VIRU-NIGULA 2018</w:t>
      </w:r>
      <w:r w:rsidR="008C2FB1">
        <w:rPr>
          <w:b/>
          <w:sz w:val="28"/>
          <w:szCs w:val="28"/>
          <w:lang w:val="et-EE"/>
        </w:rPr>
        <w:t xml:space="preserve"> </w:t>
      </w:r>
    </w:p>
    <w:p w:rsidR="00B7782D" w:rsidRPr="00E95D36" w:rsidRDefault="00B7782D">
      <w:pPr>
        <w:rPr>
          <w:lang w:val="et-EE"/>
        </w:rPr>
      </w:pPr>
    </w:p>
    <w:p w:rsidR="00924C20" w:rsidRPr="00E95D36" w:rsidRDefault="00924C20">
      <w:pPr>
        <w:rPr>
          <w:lang w:val="et-EE"/>
        </w:rPr>
      </w:pPr>
    </w:p>
    <w:sdt>
      <w:sdtPr>
        <w:rPr>
          <w:rFonts w:ascii="Times New Roman" w:eastAsia="Times New Roman" w:hAnsi="Times New Roman" w:cs="Times New Roman"/>
          <w:b w:val="0"/>
          <w:bCs w:val="0"/>
          <w:color w:val="auto"/>
          <w:sz w:val="24"/>
          <w:szCs w:val="24"/>
          <w:lang w:val="en-GB"/>
        </w:rPr>
        <w:id w:val="261212257"/>
        <w:docPartObj>
          <w:docPartGallery w:val="Table of Contents"/>
          <w:docPartUnique/>
        </w:docPartObj>
      </w:sdtPr>
      <w:sdtEndPr/>
      <w:sdtContent>
        <w:p w:rsidR="00F420E6" w:rsidRPr="00790EF5" w:rsidRDefault="00F420E6" w:rsidP="000F3685">
          <w:pPr>
            <w:pStyle w:val="Sisukorrapealkiri"/>
            <w:tabs>
              <w:tab w:val="left" w:pos="3030"/>
            </w:tabs>
            <w:rPr>
              <w:rFonts w:ascii="Verdana" w:hAnsi="Verdana"/>
              <w:color w:val="auto"/>
            </w:rPr>
          </w:pPr>
          <w:r w:rsidRPr="005C1369">
            <w:rPr>
              <w:rFonts w:ascii="Times New Roman" w:hAnsi="Times New Roman" w:cs="Times New Roman"/>
              <w:color w:val="auto"/>
            </w:rPr>
            <w:t>Sisukord</w:t>
          </w:r>
          <w:r w:rsidR="000F3685">
            <w:rPr>
              <w:rFonts w:ascii="Verdana" w:hAnsi="Verdana"/>
              <w:color w:val="auto"/>
            </w:rPr>
            <w:tab/>
          </w:r>
        </w:p>
        <w:p w:rsidR="00F7097C" w:rsidRPr="00F7097C" w:rsidRDefault="00F7097C" w:rsidP="00F7097C">
          <w:pPr>
            <w:rPr>
              <w:lang w:val="et-EE"/>
            </w:rPr>
          </w:pPr>
        </w:p>
        <w:p w:rsidR="008D0F42" w:rsidRDefault="00604D49">
          <w:pPr>
            <w:pStyle w:val="SK1"/>
            <w:rPr>
              <w:rFonts w:asciiTheme="minorHAnsi" w:eastAsiaTheme="minorEastAsia" w:hAnsiTheme="minorHAnsi" w:cstheme="minorBidi"/>
              <w:b w:val="0"/>
              <w:bCs w:val="0"/>
              <w:sz w:val="22"/>
              <w:szCs w:val="22"/>
              <w:lang w:val="et-EE" w:eastAsia="et-EE"/>
            </w:rPr>
          </w:pPr>
          <w:r w:rsidRPr="00C87892">
            <w:rPr>
              <w:b w:val="0"/>
              <w:lang w:val="et-EE"/>
            </w:rPr>
            <w:fldChar w:fldCharType="begin"/>
          </w:r>
          <w:r w:rsidR="00F420E6" w:rsidRPr="00C87892">
            <w:rPr>
              <w:b w:val="0"/>
              <w:lang w:val="et-EE"/>
            </w:rPr>
            <w:instrText xml:space="preserve"> TOC \o "1-3" \h \z \u </w:instrText>
          </w:r>
          <w:r w:rsidRPr="00C87892">
            <w:rPr>
              <w:b w:val="0"/>
              <w:lang w:val="et-EE"/>
            </w:rPr>
            <w:fldChar w:fldCharType="separate"/>
          </w:r>
          <w:hyperlink w:anchor="_Toc521395288" w:history="1">
            <w:r w:rsidR="008D0F42" w:rsidRPr="00BE3E44">
              <w:rPr>
                <w:rStyle w:val="Hperlink"/>
              </w:rPr>
              <w:t>Sissejuhatus</w:t>
            </w:r>
            <w:r w:rsidR="008D0F42">
              <w:rPr>
                <w:webHidden/>
              </w:rPr>
              <w:tab/>
            </w:r>
            <w:r w:rsidR="008D0F42">
              <w:rPr>
                <w:webHidden/>
              </w:rPr>
              <w:fldChar w:fldCharType="begin"/>
            </w:r>
            <w:r w:rsidR="008D0F42">
              <w:rPr>
                <w:webHidden/>
              </w:rPr>
              <w:instrText xml:space="preserve"> PAGEREF _Toc521395288 \h </w:instrText>
            </w:r>
            <w:r w:rsidR="008D0F42">
              <w:rPr>
                <w:webHidden/>
              </w:rPr>
            </w:r>
            <w:r w:rsidR="008D0F42">
              <w:rPr>
                <w:webHidden/>
              </w:rPr>
              <w:fldChar w:fldCharType="separate"/>
            </w:r>
            <w:r w:rsidR="008D0F42">
              <w:rPr>
                <w:webHidden/>
              </w:rPr>
              <w:t>3</w:t>
            </w:r>
            <w:r w:rsidR="008D0F42">
              <w:rPr>
                <w:webHidden/>
              </w:rPr>
              <w:fldChar w:fldCharType="end"/>
            </w:r>
          </w:hyperlink>
        </w:p>
        <w:p w:rsidR="008D0F42" w:rsidRDefault="000C7C8B">
          <w:pPr>
            <w:pStyle w:val="SK1"/>
            <w:rPr>
              <w:rFonts w:asciiTheme="minorHAnsi" w:eastAsiaTheme="minorEastAsia" w:hAnsiTheme="minorHAnsi" w:cstheme="minorBidi"/>
              <w:b w:val="0"/>
              <w:bCs w:val="0"/>
              <w:sz w:val="22"/>
              <w:szCs w:val="22"/>
              <w:lang w:val="et-EE" w:eastAsia="et-EE"/>
            </w:rPr>
          </w:pPr>
          <w:hyperlink w:anchor="_Toc521395289" w:history="1">
            <w:r w:rsidR="008D0F42" w:rsidRPr="00BE3E44">
              <w:rPr>
                <w:rStyle w:val="Hperlink"/>
              </w:rPr>
              <w:t>1. Majanduslik olukord riigis</w:t>
            </w:r>
            <w:r w:rsidR="008D0F42">
              <w:rPr>
                <w:webHidden/>
              </w:rPr>
              <w:tab/>
            </w:r>
            <w:r w:rsidR="008D0F42">
              <w:rPr>
                <w:webHidden/>
              </w:rPr>
              <w:fldChar w:fldCharType="begin"/>
            </w:r>
            <w:r w:rsidR="008D0F42">
              <w:rPr>
                <w:webHidden/>
              </w:rPr>
              <w:instrText xml:space="preserve"> PAGEREF _Toc521395289 \h </w:instrText>
            </w:r>
            <w:r w:rsidR="008D0F42">
              <w:rPr>
                <w:webHidden/>
              </w:rPr>
            </w:r>
            <w:r w:rsidR="008D0F42">
              <w:rPr>
                <w:webHidden/>
              </w:rPr>
              <w:fldChar w:fldCharType="separate"/>
            </w:r>
            <w:r w:rsidR="008D0F42">
              <w:rPr>
                <w:webHidden/>
              </w:rPr>
              <w:t>4</w:t>
            </w:r>
            <w:r w:rsidR="008D0F42">
              <w:rPr>
                <w:webHidden/>
              </w:rPr>
              <w:fldChar w:fldCharType="end"/>
            </w:r>
          </w:hyperlink>
        </w:p>
        <w:p w:rsidR="008D0F42" w:rsidRDefault="000C7C8B">
          <w:pPr>
            <w:pStyle w:val="SK2"/>
            <w:rPr>
              <w:rFonts w:asciiTheme="minorHAnsi" w:eastAsiaTheme="minorEastAsia" w:hAnsiTheme="minorHAnsi" w:cstheme="minorBidi"/>
              <w:b w:val="0"/>
              <w:bCs w:val="0"/>
              <w:sz w:val="22"/>
              <w:szCs w:val="22"/>
              <w:lang w:val="et-EE" w:eastAsia="et-EE"/>
            </w:rPr>
          </w:pPr>
          <w:hyperlink w:anchor="_Toc521395290" w:history="1">
            <w:r w:rsidR="008D0F42" w:rsidRPr="00BE3E44">
              <w:rPr>
                <w:rStyle w:val="Hperlink"/>
                <w:lang w:val="et-EE"/>
              </w:rPr>
              <w:t>1.1. Riigi eelarvestrateegia 2019-2022 ja majanduse üldtrendid</w:t>
            </w:r>
            <w:r w:rsidR="008D0F42">
              <w:rPr>
                <w:webHidden/>
              </w:rPr>
              <w:tab/>
            </w:r>
            <w:r w:rsidR="008D0F42">
              <w:rPr>
                <w:webHidden/>
              </w:rPr>
              <w:fldChar w:fldCharType="begin"/>
            </w:r>
            <w:r w:rsidR="008D0F42">
              <w:rPr>
                <w:webHidden/>
              </w:rPr>
              <w:instrText xml:space="preserve"> PAGEREF _Toc521395290 \h </w:instrText>
            </w:r>
            <w:r w:rsidR="008D0F42">
              <w:rPr>
                <w:webHidden/>
              </w:rPr>
            </w:r>
            <w:r w:rsidR="008D0F42">
              <w:rPr>
                <w:webHidden/>
              </w:rPr>
              <w:fldChar w:fldCharType="separate"/>
            </w:r>
            <w:r w:rsidR="008D0F42">
              <w:rPr>
                <w:webHidden/>
              </w:rPr>
              <w:t>4</w:t>
            </w:r>
            <w:r w:rsidR="008D0F42">
              <w:rPr>
                <w:webHidden/>
              </w:rPr>
              <w:fldChar w:fldCharType="end"/>
            </w:r>
          </w:hyperlink>
        </w:p>
        <w:p w:rsidR="008D0F42" w:rsidRDefault="000C7C8B">
          <w:pPr>
            <w:pStyle w:val="SK2"/>
            <w:rPr>
              <w:rFonts w:asciiTheme="minorHAnsi" w:eastAsiaTheme="minorEastAsia" w:hAnsiTheme="minorHAnsi" w:cstheme="minorBidi"/>
              <w:b w:val="0"/>
              <w:bCs w:val="0"/>
              <w:sz w:val="22"/>
              <w:szCs w:val="22"/>
              <w:lang w:val="et-EE" w:eastAsia="et-EE"/>
            </w:rPr>
          </w:pPr>
          <w:hyperlink w:anchor="_Toc521395291" w:history="1">
            <w:r w:rsidR="008D0F42" w:rsidRPr="00BE3E44">
              <w:rPr>
                <w:rStyle w:val="Hperlink"/>
                <w:lang w:val="et-EE"/>
              </w:rPr>
              <w:t>1.2. Valitsussektori eelarvepositsiooni eesmärk ning võrdlus eelmise perioodi riigi eelarvestrateegiaga</w:t>
            </w:r>
            <w:r w:rsidR="008D0F42">
              <w:rPr>
                <w:webHidden/>
              </w:rPr>
              <w:tab/>
            </w:r>
            <w:r w:rsidR="008D0F42">
              <w:rPr>
                <w:webHidden/>
              </w:rPr>
              <w:fldChar w:fldCharType="begin"/>
            </w:r>
            <w:r w:rsidR="008D0F42">
              <w:rPr>
                <w:webHidden/>
              </w:rPr>
              <w:instrText xml:space="preserve"> PAGEREF _Toc521395291 \h </w:instrText>
            </w:r>
            <w:r w:rsidR="008D0F42">
              <w:rPr>
                <w:webHidden/>
              </w:rPr>
            </w:r>
            <w:r w:rsidR="008D0F42">
              <w:rPr>
                <w:webHidden/>
              </w:rPr>
              <w:fldChar w:fldCharType="separate"/>
            </w:r>
            <w:r w:rsidR="008D0F42">
              <w:rPr>
                <w:webHidden/>
              </w:rPr>
              <w:t>5</w:t>
            </w:r>
            <w:r w:rsidR="008D0F42">
              <w:rPr>
                <w:webHidden/>
              </w:rPr>
              <w:fldChar w:fldCharType="end"/>
            </w:r>
          </w:hyperlink>
        </w:p>
        <w:p w:rsidR="008D0F42" w:rsidRDefault="000C7C8B">
          <w:pPr>
            <w:pStyle w:val="SK2"/>
            <w:rPr>
              <w:rFonts w:asciiTheme="minorHAnsi" w:eastAsiaTheme="minorEastAsia" w:hAnsiTheme="minorHAnsi" w:cstheme="minorBidi"/>
              <w:b w:val="0"/>
              <w:bCs w:val="0"/>
              <w:sz w:val="22"/>
              <w:szCs w:val="22"/>
              <w:lang w:val="et-EE" w:eastAsia="et-EE"/>
            </w:rPr>
          </w:pPr>
          <w:hyperlink w:anchor="_Toc521395292" w:history="1">
            <w:r w:rsidR="008D0F42" w:rsidRPr="00BE3E44">
              <w:rPr>
                <w:rStyle w:val="Hperlink"/>
                <w:lang w:val="et-EE"/>
              </w:rPr>
              <w:t>1.3. Maksupoliitilised eesmärgid</w:t>
            </w:r>
            <w:r w:rsidR="008D0F42">
              <w:rPr>
                <w:webHidden/>
              </w:rPr>
              <w:tab/>
            </w:r>
            <w:r w:rsidR="008D0F42">
              <w:rPr>
                <w:webHidden/>
              </w:rPr>
              <w:fldChar w:fldCharType="begin"/>
            </w:r>
            <w:r w:rsidR="008D0F42">
              <w:rPr>
                <w:webHidden/>
              </w:rPr>
              <w:instrText xml:space="preserve"> PAGEREF _Toc521395292 \h </w:instrText>
            </w:r>
            <w:r w:rsidR="008D0F42">
              <w:rPr>
                <w:webHidden/>
              </w:rPr>
            </w:r>
            <w:r w:rsidR="008D0F42">
              <w:rPr>
                <w:webHidden/>
              </w:rPr>
              <w:fldChar w:fldCharType="separate"/>
            </w:r>
            <w:r w:rsidR="008D0F42">
              <w:rPr>
                <w:webHidden/>
              </w:rPr>
              <w:t>6</w:t>
            </w:r>
            <w:r w:rsidR="008D0F42">
              <w:rPr>
                <w:webHidden/>
              </w:rPr>
              <w:fldChar w:fldCharType="end"/>
            </w:r>
          </w:hyperlink>
        </w:p>
        <w:p w:rsidR="008D0F42" w:rsidRDefault="000C7C8B">
          <w:pPr>
            <w:pStyle w:val="SK2"/>
            <w:rPr>
              <w:rFonts w:asciiTheme="minorHAnsi" w:eastAsiaTheme="minorEastAsia" w:hAnsiTheme="minorHAnsi" w:cstheme="minorBidi"/>
              <w:b w:val="0"/>
              <w:bCs w:val="0"/>
              <w:sz w:val="22"/>
              <w:szCs w:val="22"/>
              <w:lang w:val="et-EE" w:eastAsia="et-EE"/>
            </w:rPr>
          </w:pPr>
          <w:hyperlink w:anchor="_Toc521395293" w:history="1">
            <w:r w:rsidR="008D0F42" w:rsidRPr="00BE3E44">
              <w:rPr>
                <w:rStyle w:val="Hperlink"/>
                <w:lang w:val="et-EE"/>
              </w:rPr>
              <w:t>1.4. Investeeringud</w:t>
            </w:r>
            <w:r w:rsidR="008D0F42">
              <w:rPr>
                <w:webHidden/>
              </w:rPr>
              <w:tab/>
            </w:r>
            <w:r w:rsidR="008D0F42">
              <w:rPr>
                <w:webHidden/>
              </w:rPr>
              <w:fldChar w:fldCharType="begin"/>
            </w:r>
            <w:r w:rsidR="008D0F42">
              <w:rPr>
                <w:webHidden/>
              </w:rPr>
              <w:instrText xml:space="preserve"> PAGEREF _Toc521395293 \h </w:instrText>
            </w:r>
            <w:r w:rsidR="008D0F42">
              <w:rPr>
                <w:webHidden/>
              </w:rPr>
            </w:r>
            <w:r w:rsidR="008D0F42">
              <w:rPr>
                <w:webHidden/>
              </w:rPr>
              <w:fldChar w:fldCharType="separate"/>
            </w:r>
            <w:r w:rsidR="008D0F42">
              <w:rPr>
                <w:webHidden/>
              </w:rPr>
              <w:t>6</w:t>
            </w:r>
            <w:r w:rsidR="008D0F42">
              <w:rPr>
                <w:webHidden/>
              </w:rPr>
              <w:fldChar w:fldCharType="end"/>
            </w:r>
          </w:hyperlink>
        </w:p>
        <w:p w:rsidR="008D0F42" w:rsidRDefault="000C7C8B">
          <w:pPr>
            <w:pStyle w:val="SK2"/>
            <w:rPr>
              <w:rFonts w:asciiTheme="minorHAnsi" w:eastAsiaTheme="minorEastAsia" w:hAnsiTheme="minorHAnsi" w:cstheme="minorBidi"/>
              <w:b w:val="0"/>
              <w:bCs w:val="0"/>
              <w:sz w:val="22"/>
              <w:szCs w:val="22"/>
              <w:lang w:val="et-EE" w:eastAsia="et-EE"/>
            </w:rPr>
          </w:pPr>
          <w:hyperlink w:anchor="_Toc521395294" w:history="1">
            <w:r w:rsidR="008D0F42" w:rsidRPr="00BE3E44">
              <w:rPr>
                <w:rStyle w:val="Hperlink"/>
                <w:lang w:val="et-EE"/>
              </w:rPr>
              <w:t>1.5. Ministeeriumite peamised strateegilised eesmärgid</w:t>
            </w:r>
            <w:r w:rsidR="008D0F42">
              <w:rPr>
                <w:webHidden/>
              </w:rPr>
              <w:tab/>
            </w:r>
            <w:r w:rsidR="008D0F42">
              <w:rPr>
                <w:webHidden/>
              </w:rPr>
              <w:fldChar w:fldCharType="begin"/>
            </w:r>
            <w:r w:rsidR="008D0F42">
              <w:rPr>
                <w:webHidden/>
              </w:rPr>
              <w:instrText xml:space="preserve"> PAGEREF _Toc521395294 \h </w:instrText>
            </w:r>
            <w:r w:rsidR="008D0F42">
              <w:rPr>
                <w:webHidden/>
              </w:rPr>
            </w:r>
            <w:r w:rsidR="008D0F42">
              <w:rPr>
                <w:webHidden/>
              </w:rPr>
              <w:fldChar w:fldCharType="separate"/>
            </w:r>
            <w:r w:rsidR="008D0F42">
              <w:rPr>
                <w:webHidden/>
              </w:rPr>
              <w:t>7</w:t>
            </w:r>
            <w:r w:rsidR="008D0F42">
              <w:rPr>
                <w:webHidden/>
              </w:rPr>
              <w:fldChar w:fldCharType="end"/>
            </w:r>
          </w:hyperlink>
        </w:p>
        <w:p w:rsidR="008D0F42" w:rsidRDefault="000C7C8B">
          <w:pPr>
            <w:pStyle w:val="SK2"/>
            <w:rPr>
              <w:rFonts w:asciiTheme="minorHAnsi" w:eastAsiaTheme="minorEastAsia" w:hAnsiTheme="minorHAnsi" w:cstheme="minorBidi"/>
              <w:b w:val="0"/>
              <w:bCs w:val="0"/>
              <w:sz w:val="22"/>
              <w:szCs w:val="22"/>
              <w:lang w:val="et-EE" w:eastAsia="et-EE"/>
            </w:rPr>
          </w:pPr>
          <w:hyperlink w:anchor="_Toc521395295" w:history="1">
            <w:r w:rsidR="008D0F42" w:rsidRPr="00BE3E44">
              <w:rPr>
                <w:rStyle w:val="Hperlink"/>
                <w:lang w:val="et-EE"/>
              </w:rPr>
              <w:t>1.6. Kohalike omavalitsustega seotud muutused rahastamises</w:t>
            </w:r>
            <w:r w:rsidR="008D0F42">
              <w:rPr>
                <w:webHidden/>
              </w:rPr>
              <w:tab/>
            </w:r>
            <w:r w:rsidR="008D0F42">
              <w:rPr>
                <w:webHidden/>
              </w:rPr>
              <w:fldChar w:fldCharType="begin"/>
            </w:r>
            <w:r w:rsidR="008D0F42">
              <w:rPr>
                <w:webHidden/>
              </w:rPr>
              <w:instrText xml:space="preserve"> PAGEREF _Toc521395295 \h </w:instrText>
            </w:r>
            <w:r w:rsidR="008D0F42">
              <w:rPr>
                <w:webHidden/>
              </w:rPr>
            </w:r>
            <w:r w:rsidR="008D0F42">
              <w:rPr>
                <w:webHidden/>
              </w:rPr>
              <w:fldChar w:fldCharType="separate"/>
            </w:r>
            <w:r w:rsidR="008D0F42">
              <w:rPr>
                <w:webHidden/>
              </w:rPr>
              <w:t>7</w:t>
            </w:r>
            <w:r w:rsidR="008D0F42">
              <w:rPr>
                <w:webHidden/>
              </w:rPr>
              <w:fldChar w:fldCharType="end"/>
            </w:r>
          </w:hyperlink>
        </w:p>
        <w:p w:rsidR="008D0F42" w:rsidRDefault="000C7C8B">
          <w:pPr>
            <w:pStyle w:val="SK1"/>
            <w:rPr>
              <w:rFonts w:asciiTheme="minorHAnsi" w:eastAsiaTheme="minorEastAsia" w:hAnsiTheme="minorHAnsi" w:cstheme="minorBidi"/>
              <w:b w:val="0"/>
              <w:bCs w:val="0"/>
              <w:sz w:val="22"/>
              <w:szCs w:val="22"/>
              <w:lang w:val="et-EE" w:eastAsia="et-EE"/>
            </w:rPr>
          </w:pPr>
          <w:hyperlink w:anchor="_Toc521395296" w:history="1">
            <w:r w:rsidR="008D0F42" w:rsidRPr="00BE3E44">
              <w:rPr>
                <w:rStyle w:val="Hperlink"/>
              </w:rPr>
              <w:t>2. Sotsiaalmajanduslik olukord Viru-Nigula vallas</w:t>
            </w:r>
            <w:r w:rsidR="008D0F42">
              <w:rPr>
                <w:webHidden/>
              </w:rPr>
              <w:tab/>
            </w:r>
            <w:r w:rsidR="008D0F42">
              <w:rPr>
                <w:webHidden/>
              </w:rPr>
              <w:fldChar w:fldCharType="begin"/>
            </w:r>
            <w:r w:rsidR="008D0F42">
              <w:rPr>
                <w:webHidden/>
              </w:rPr>
              <w:instrText xml:space="preserve"> PAGEREF _Toc521395296 \h </w:instrText>
            </w:r>
            <w:r w:rsidR="008D0F42">
              <w:rPr>
                <w:webHidden/>
              </w:rPr>
            </w:r>
            <w:r w:rsidR="008D0F42">
              <w:rPr>
                <w:webHidden/>
              </w:rPr>
              <w:fldChar w:fldCharType="separate"/>
            </w:r>
            <w:r w:rsidR="008D0F42">
              <w:rPr>
                <w:webHidden/>
              </w:rPr>
              <w:t>9</w:t>
            </w:r>
            <w:r w:rsidR="008D0F42">
              <w:rPr>
                <w:webHidden/>
              </w:rPr>
              <w:fldChar w:fldCharType="end"/>
            </w:r>
          </w:hyperlink>
        </w:p>
        <w:p w:rsidR="008D0F42" w:rsidRDefault="000C7C8B">
          <w:pPr>
            <w:pStyle w:val="SK1"/>
            <w:rPr>
              <w:rFonts w:asciiTheme="minorHAnsi" w:eastAsiaTheme="minorEastAsia" w:hAnsiTheme="minorHAnsi" w:cstheme="minorBidi"/>
              <w:b w:val="0"/>
              <w:bCs w:val="0"/>
              <w:sz w:val="22"/>
              <w:szCs w:val="22"/>
              <w:lang w:val="et-EE" w:eastAsia="et-EE"/>
            </w:rPr>
          </w:pPr>
          <w:hyperlink w:anchor="_Toc521395297" w:history="1">
            <w:r w:rsidR="008D0F42" w:rsidRPr="00BE3E44">
              <w:rPr>
                <w:rStyle w:val="Hperlink"/>
              </w:rPr>
              <w:t>3. Eelarvestrateegia eelarveosad</w:t>
            </w:r>
            <w:r w:rsidR="008D0F42">
              <w:rPr>
                <w:webHidden/>
              </w:rPr>
              <w:tab/>
            </w:r>
            <w:r w:rsidR="008D0F42">
              <w:rPr>
                <w:webHidden/>
              </w:rPr>
              <w:fldChar w:fldCharType="begin"/>
            </w:r>
            <w:r w:rsidR="008D0F42">
              <w:rPr>
                <w:webHidden/>
              </w:rPr>
              <w:instrText xml:space="preserve"> PAGEREF _Toc521395297 \h </w:instrText>
            </w:r>
            <w:r w:rsidR="008D0F42">
              <w:rPr>
                <w:webHidden/>
              </w:rPr>
            </w:r>
            <w:r w:rsidR="008D0F42">
              <w:rPr>
                <w:webHidden/>
              </w:rPr>
              <w:fldChar w:fldCharType="separate"/>
            </w:r>
            <w:r w:rsidR="008D0F42">
              <w:rPr>
                <w:webHidden/>
              </w:rPr>
              <w:t>10</w:t>
            </w:r>
            <w:r w:rsidR="008D0F42">
              <w:rPr>
                <w:webHidden/>
              </w:rPr>
              <w:fldChar w:fldCharType="end"/>
            </w:r>
          </w:hyperlink>
        </w:p>
        <w:p w:rsidR="008D0F42" w:rsidRDefault="000C7C8B">
          <w:pPr>
            <w:pStyle w:val="SK2"/>
            <w:rPr>
              <w:rFonts w:asciiTheme="minorHAnsi" w:eastAsiaTheme="minorEastAsia" w:hAnsiTheme="minorHAnsi" w:cstheme="minorBidi"/>
              <w:b w:val="0"/>
              <w:bCs w:val="0"/>
              <w:sz w:val="22"/>
              <w:szCs w:val="22"/>
              <w:lang w:val="et-EE" w:eastAsia="et-EE"/>
            </w:rPr>
          </w:pPr>
          <w:hyperlink w:anchor="_Toc521395298" w:history="1">
            <w:r w:rsidR="008D0F42" w:rsidRPr="00BE3E44">
              <w:rPr>
                <w:rStyle w:val="Hperlink"/>
                <w:lang w:val="et-EE"/>
              </w:rPr>
              <w:t>3.1. Põhitegevuse tulud</w:t>
            </w:r>
            <w:r w:rsidR="008D0F42">
              <w:rPr>
                <w:webHidden/>
              </w:rPr>
              <w:tab/>
            </w:r>
            <w:r w:rsidR="008D0F42">
              <w:rPr>
                <w:webHidden/>
              </w:rPr>
              <w:fldChar w:fldCharType="begin"/>
            </w:r>
            <w:r w:rsidR="008D0F42">
              <w:rPr>
                <w:webHidden/>
              </w:rPr>
              <w:instrText xml:space="preserve"> PAGEREF _Toc521395298 \h </w:instrText>
            </w:r>
            <w:r w:rsidR="008D0F42">
              <w:rPr>
                <w:webHidden/>
              </w:rPr>
            </w:r>
            <w:r w:rsidR="008D0F42">
              <w:rPr>
                <w:webHidden/>
              </w:rPr>
              <w:fldChar w:fldCharType="separate"/>
            </w:r>
            <w:r w:rsidR="008D0F42">
              <w:rPr>
                <w:webHidden/>
              </w:rPr>
              <w:t>10</w:t>
            </w:r>
            <w:r w:rsidR="008D0F42">
              <w:rPr>
                <w:webHidden/>
              </w:rPr>
              <w:fldChar w:fldCharType="end"/>
            </w:r>
          </w:hyperlink>
        </w:p>
        <w:p w:rsidR="008D0F42" w:rsidRDefault="000C7C8B">
          <w:pPr>
            <w:pStyle w:val="SK2"/>
            <w:rPr>
              <w:rFonts w:asciiTheme="minorHAnsi" w:eastAsiaTheme="minorEastAsia" w:hAnsiTheme="minorHAnsi" w:cstheme="minorBidi"/>
              <w:b w:val="0"/>
              <w:bCs w:val="0"/>
              <w:sz w:val="22"/>
              <w:szCs w:val="22"/>
              <w:lang w:val="et-EE" w:eastAsia="et-EE"/>
            </w:rPr>
          </w:pPr>
          <w:hyperlink w:anchor="_Toc521395299" w:history="1">
            <w:r w:rsidR="008D0F42" w:rsidRPr="00BE3E44">
              <w:rPr>
                <w:rStyle w:val="Hperlink"/>
                <w:lang w:val="et-EE"/>
              </w:rPr>
              <w:t>3.2. Põhitegevuse kulud</w:t>
            </w:r>
            <w:r w:rsidR="008D0F42">
              <w:rPr>
                <w:webHidden/>
              </w:rPr>
              <w:tab/>
            </w:r>
            <w:r w:rsidR="008D0F42">
              <w:rPr>
                <w:webHidden/>
              </w:rPr>
              <w:fldChar w:fldCharType="begin"/>
            </w:r>
            <w:r w:rsidR="008D0F42">
              <w:rPr>
                <w:webHidden/>
              </w:rPr>
              <w:instrText xml:space="preserve"> PAGEREF _Toc521395299 \h </w:instrText>
            </w:r>
            <w:r w:rsidR="008D0F42">
              <w:rPr>
                <w:webHidden/>
              </w:rPr>
            </w:r>
            <w:r w:rsidR="008D0F42">
              <w:rPr>
                <w:webHidden/>
              </w:rPr>
              <w:fldChar w:fldCharType="separate"/>
            </w:r>
            <w:r w:rsidR="008D0F42">
              <w:rPr>
                <w:webHidden/>
              </w:rPr>
              <w:t>14</w:t>
            </w:r>
            <w:r w:rsidR="008D0F42">
              <w:rPr>
                <w:webHidden/>
              </w:rPr>
              <w:fldChar w:fldCharType="end"/>
            </w:r>
          </w:hyperlink>
        </w:p>
        <w:p w:rsidR="008D0F42" w:rsidRDefault="000C7C8B">
          <w:pPr>
            <w:pStyle w:val="SK2"/>
            <w:rPr>
              <w:rFonts w:asciiTheme="minorHAnsi" w:eastAsiaTheme="minorEastAsia" w:hAnsiTheme="minorHAnsi" w:cstheme="minorBidi"/>
              <w:b w:val="0"/>
              <w:bCs w:val="0"/>
              <w:sz w:val="22"/>
              <w:szCs w:val="22"/>
              <w:lang w:val="et-EE" w:eastAsia="et-EE"/>
            </w:rPr>
          </w:pPr>
          <w:hyperlink w:anchor="_Toc521395300" w:history="1">
            <w:r w:rsidR="008D0F42" w:rsidRPr="00BE3E44">
              <w:rPr>
                <w:rStyle w:val="Hperlink"/>
                <w:lang w:val="es-ES"/>
              </w:rPr>
              <w:t>3.3 Investeerimistegevuse eelarveosa</w:t>
            </w:r>
            <w:r w:rsidR="008D0F42">
              <w:rPr>
                <w:webHidden/>
              </w:rPr>
              <w:tab/>
            </w:r>
            <w:r w:rsidR="008D0F42">
              <w:rPr>
                <w:webHidden/>
              </w:rPr>
              <w:fldChar w:fldCharType="begin"/>
            </w:r>
            <w:r w:rsidR="008D0F42">
              <w:rPr>
                <w:webHidden/>
              </w:rPr>
              <w:instrText xml:space="preserve"> PAGEREF _Toc521395300 \h </w:instrText>
            </w:r>
            <w:r w:rsidR="008D0F42">
              <w:rPr>
                <w:webHidden/>
              </w:rPr>
            </w:r>
            <w:r w:rsidR="008D0F42">
              <w:rPr>
                <w:webHidden/>
              </w:rPr>
              <w:fldChar w:fldCharType="separate"/>
            </w:r>
            <w:r w:rsidR="008D0F42">
              <w:rPr>
                <w:webHidden/>
              </w:rPr>
              <w:t>16</w:t>
            </w:r>
            <w:r w:rsidR="008D0F42">
              <w:rPr>
                <w:webHidden/>
              </w:rPr>
              <w:fldChar w:fldCharType="end"/>
            </w:r>
          </w:hyperlink>
        </w:p>
        <w:p w:rsidR="008D0F42" w:rsidRDefault="000C7C8B">
          <w:pPr>
            <w:pStyle w:val="SK2"/>
            <w:rPr>
              <w:rFonts w:asciiTheme="minorHAnsi" w:eastAsiaTheme="minorEastAsia" w:hAnsiTheme="minorHAnsi" w:cstheme="minorBidi"/>
              <w:b w:val="0"/>
              <w:bCs w:val="0"/>
              <w:sz w:val="22"/>
              <w:szCs w:val="22"/>
              <w:lang w:val="et-EE" w:eastAsia="et-EE"/>
            </w:rPr>
          </w:pPr>
          <w:hyperlink w:anchor="_Toc521395301" w:history="1">
            <w:r w:rsidR="008D0F42" w:rsidRPr="00BE3E44">
              <w:rPr>
                <w:rStyle w:val="Hperlink"/>
                <w:lang w:val="et-EE"/>
              </w:rPr>
              <w:t>3.4. Finantseerimistegevuse eelarveosa</w:t>
            </w:r>
            <w:r w:rsidR="008D0F42">
              <w:rPr>
                <w:webHidden/>
              </w:rPr>
              <w:tab/>
            </w:r>
            <w:r w:rsidR="008D0F42">
              <w:rPr>
                <w:webHidden/>
              </w:rPr>
              <w:fldChar w:fldCharType="begin"/>
            </w:r>
            <w:r w:rsidR="008D0F42">
              <w:rPr>
                <w:webHidden/>
              </w:rPr>
              <w:instrText xml:space="preserve"> PAGEREF _Toc521395301 \h </w:instrText>
            </w:r>
            <w:r w:rsidR="008D0F42">
              <w:rPr>
                <w:webHidden/>
              </w:rPr>
            </w:r>
            <w:r w:rsidR="008D0F42">
              <w:rPr>
                <w:webHidden/>
              </w:rPr>
              <w:fldChar w:fldCharType="separate"/>
            </w:r>
            <w:r w:rsidR="008D0F42">
              <w:rPr>
                <w:webHidden/>
              </w:rPr>
              <w:t>20</w:t>
            </w:r>
            <w:r w:rsidR="008D0F42">
              <w:rPr>
                <w:webHidden/>
              </w:rPr>
              <w:fldChar w:fldCharType="end"/>
            </w:r>
          </w:hyperlink>
        </w:p>
        <w:p w:rsidR="008D0F42" w:rsidRDefault="000C7C8B">
          <w:pPr>
            <w:pStyle w:val="SK2"/>
            <w:rPr>
              <w:rFonts w:asciiTheme="minorHAnsi" w:eastAsiaTheme="minorEastAsia" w:hAnsiTheme="minorHAnsi" w:cstheme="minorBidi"/>
              <w:b w:val="0"/>
              <w:bCs w:val="0"/>
              <w:sz w:val="22"/>
              <w:szCs w:val="22"/>
              <w:lang w:val="et-EE" w:eastAsia="et-EE"/>
            </w:rPr>
          </w:pPr>
          <w:hyperlink w:anchor="_Toc521395302" w:history="1">
            <w:r w:rsidR="008D0F42" w:rsidRPr="00BE3E44">
              <w:rPr>
                <w:rStyle w:val="Hperlink"/>
                <w:lang w:val="et-EE"/>
              </w:rPr>
              <w:t>3.5. Likviidsete varade muutus</w:t>
            </w:r>
            <w:r w:rsidR="008D0F42">
              <w:rPr>
                <w:webHidden/>
              </w:rPr>
              <w:tab/>
            </w:r>
            <w:r w:rsidR="008D0F42">
              <w:rPr>
                <w:webHidden/>
              </w:rPr>
              <w:fldChar w:fldCharType="begin"/>
            </w:r>
            <w:r w:rsidR="008D0F42">
              <w:rPr>
                <w:webHidden/>
              </w:rPr>
              <w:instrText xml:space="preserve"> PAGEREF _Toc521395302 \h </w:instrText>
            </w:r>
            <w:r w:rsidR="008D0F42">
              <w:rPr>
                <w:webHidden/>
              </w:rPr>
            </w:r>
            <w:r w:rsidR="008D0F42">
              <w:rPr>
                <w:webHidden/>
              </w:rPr>
              <w:fldChar w:fldCharType="separate"/>
            </w:r>
            <w:r w:rsidR="008D0F42">
              <w:rPr>
                <w:webHidden/>
              </w:rPr>
              <w:t>21</w:t>
            </w:r>
            <w:r w:rsidR="008D0F42">
              <w:rPr>
                <w:webHidden/>
              </w:rPr>
              <w:fldChar w:fldCharType="end"/>
            </w:r>
          </w:hyperlink>
        </w:p>
        <w:p w:rsidR="008D0F42" w:rsidRDefault="000C7C8B">
          <w:pPr>
            <w:pStyle w:val="SK1"/>
            <w:rPr>
              <w:rFonts w:asciiTheme="minorHAnsi" w:eastAsiaTheme="minorEastAsia" w:hAnsiTheme="minorHAnsi" w:cstheme="minorBidi"/>
              <w:b w:val="0"/>
              <w:bCs w:val="0"/>
              <w:sz w:val="22"/>
              <w:szCs w:val="22"/>
              <w:lang w:val="et-EE" w:eastAsia="et-EE"/>
            </w:rPr>
          </w:pPr>
          <w:hyperlink w:anchor="_Toc521395303" w:history="1">
            <w:r w:rsidR="008D0F42" w:rsidRPr="00BE3E44">
              <w:rPr>
                <w:rStyle w:val="Hperlink"/>
              </w:rPr>
              <w:t>4. Informatsioon kohalike maksude ja maamaksu muudatustest</w:t>
            </w:r>
            <w:r w:rsidR="008D0F42">
              <w:rPr>
                <w:webHidden/>
              </w:rPr>
              <w:tab/>
            </w:r>
            <w:r w:rsidR="008D0F42">
              <w:rPr>
                <w:webHidden/>
              </w:rPr>
              <w:fldChar w:fldCharType="begin"/>
            </w:r>
            <w:r w:rsidR="008D0F42">
              <w:rPr>
                <w:webHidden/>
              </w:rPr>
              <w:instrText xml:space="preserve"> PAGEREF _Toc521395303 \h </w:instrText>
            </w:r>
            <w:r w:rsidR="008D0F42">
              <w:rPr>
                <w:webHidden/>
              </w:rPr>
            </w:r>
            <w:r w:rsidR="008D0F42">
              <w:rPr>
                <w:webHidden/>
              </w:rPr>
              <w:fldChar w:fldCharType="separate"/>
            </w:r>
            <w:r w:rsidR="008D0F42">
              <w:rPr>
                <w:webHidden/>
              </w:rPr>
              <w:t>21</w:t>
            </w:r>
            <w:r w:rsidR="008D0F42">
              <w:rPr>
                <w:webHidden/>
              </w:rPr>
              <w:fldChar w:fldCharType="end"/>
            </w:r>
          </w:hyperlink>
        </w:p>
        <w:p w:rsidR="008D0F42" w:rsidRDefault="000C7C8B">
          <w:pPr>
            <w:pStyle w:val="SK1"/>
            <w:rPr>
              <w:rFonts w:asciiTheme="minorHAnsi" w:eastAsiaTheme="minorEastAsia" w:hAnsiTheme="minorHAnsi" w:cstheme="minorBidi"/>
              <w:b w:val="0"/>
              <w:bCs w:val="0"/>
              <w:sz w:val="22"/>
              <w:szCs w:val="22"/>
              <w:lang w:val="et-EE" w:eastAsia="et-EE"/>
            </w:rPr>
          </w:pPr>
          <w:hyperlink w:anchor="_Toc521395304" w:history="1">
            <w:r w:rsidR="008D0F42" w:rsidRPr="00BE3E44">
              <w:rPr>
                <w:rStyle w:val="Hperlink"/>
              </w:rPr>
              <w:t>5. Ülevaade vallast ja temast sõltuvatest arvestusüksustest</w:t>
            </w:r>
            <w:r w:rsidR="008D0F42">
              <w:rPr>
                <w:webHidden/>
              </w:rPr>
              <w:tab/>
            </w:r>
            <w:r w:rsidR="008D0F42">
              <w:rPr>
                <w:webHidden/>
              </w:rPr>
              <w:fldChar w:fldCharType="begin"/>
            </w:r>
            <w:r w:rsidR="008D0F42">
              <w:rPr>
                <w:webHidden/>
              </w:rPr>
              <w:instrText xml:space="preserve"> PAGEREF _Toc521395304 \h </w:instrText>
            </w:r>
            <w:r w:rsidR="008D0F42">
              <w:rPr>
                <w:webHidden/>
              </w:rPr>
            </w:r>
            <w:r w:rsidR="008D0F42">
              <w:rPr>
                <w:webHidden/>
              </w:rPr>
              <w:fldChar w:fldCharType="separate"/>
            </w:r>
            <w:r w:rsidR="008D0F42">
              <w:rPr>
                <w:webHidden/>
              </w:rPr>
              <w:t>22</w:t>
            </w:r>
            <w:r w:rsidR="008D0F42">
              <w:rPr>
                <w:webHidden/>
              </w:rPr>
              <w:fldChar w:fldCharType="end"/>
            </w:r>
          </w:hyperlink>
        </w:p>
        <w:p w:rsidR="008D0F42" w:rsidRDefault="000C7C8B">
          <w:pPr>
            <w:pStyle w:val="SK1"/>
            <w:rPr>
              <w:rFonts w:asciiTheme="minorHAnsi" w:eastAsiaTheme="minorEastAsia" w:hAnsiTheme="minorHAnsi" w:cstheme="minorBidi"/>
              <w:b w:val="0"/>
              <w:bCs w:val="0"/>
              <w:sz w:val="22"/>
              <w:szCs w:val="22"/>
              <w:lang w:val="et-EE" w:eastAsia="et-EE"/>
            </w:rPr>
          </w:pPr>
          <w:hyperlink w:anchor="_Toc521395305" w:history="1">
            <w:r w:rsidR="008D0F42" w:rsidRPr="00BE3E44">
              <w:rPr>
                <w:rStyle w:val="Hperlink"/>
              </w:rPr>
              <w:t>6. Arvestusüksuse põhitegevuse tulem</w:t>
            </w:r>
            <w:r w:rsidR="008D0F42">
              <w:rPr>
                <w:webHidden/>
              </w:rPr>
              <w:tab/>
            </w:r>
            <w:r w:rsidR="008D0F42">
              <w:rPr>
                <w:webHidden/>
              </w:rPr>
              <w:fldChar w:fldCharType="begin"/>
            </w:r>
            <w:r w:rsidR="008D0F42">
              <w:rPr>
                <w:webHidden/>
              </w:rPr>
              <w:instrText xml:space="preserve"> PAGEREF _Toc521395305 \h </w:instrText>
            </w:r>
            <w:r w:rsidR="008D0F42">
              <w:rPr>
                <w:webHidden/>
              </w:rPr>
            </w:r>
            <w:r w:rsidR="008D0F42">
              <w:rPr>
                <w:webHidden/>
              </w:rPr>
              <w:fldChar w:fldCharType="separate"/>
            </w:r>
            <w:r w:rsidR="008D0F42">
              <w:rPr>
                <w:webHidden/>
              </w:rPr>
              <w:t>23</w:t>
            </w:r>
            <w:r w:rsidR="008D0F42">
              <w:rPr>
                <w:webHidden/>
              </w:rPr>
              <w:fldChar w:fldCharType="end"/>
            </w:r>
          </w:hyperlink>
        </w:p>
        <w:p w:rsidR="008D0F42" w:rsidRDefault="000C7C8B">
          <w:pPr>
            <w:pStyle w:val="SK1"/>
            <w:rPr>
              <w:rFonts w:asciiTheme="minorHAnsi" w:eastAsiaTheme="minorEastAsia" w:hAnsiTheme="minorHAnsi" w:cstheme="minorBidi"/>
              <w:b w:val="0"/>
              <w:bCs w:val="0"/>
              <w:sz w:val="22"/>
              <w:szCs w:val="22"/>
              <w:lang w:val="et-EE" w:eastAsia="et-EE"/>
            </w:rPr>
          </w:pPr>
          <w:hyperlink w:anchor="_Toc521395306" w:history="1">
            <w:r w:rsidR="008D0F42" w:rsidRPr="00BE3E44">
              <w:rPr>
                <w:rStyle w:val="Hperlink"/>
              </w:rPr>
              <w:t>7. Arvestusüksuse võlakoorem</w:t>
            </w:r>
            <w:r w:rsidR="008D0F42">
              <w:rPr>
                <w:webHidden/>
              </w:rPr>
              <w:tab/>
            </w:r>
            <w:r w:rsidR="008D0F42">
              <w:rPr>
                <w:webHidden/>
              </w:rPr>
              <w:fldChar w:fldCharType="begin"/>
            </w:r>
            <w:r w:rsidR="008D0F42">
              <w:rPr>
                <w:webHidden/>
              </w:rPr>
              <w:instrText xml:space="preserve"> PAGEREF _Toc521395306 \h </w:instrText>
            </w:r>
            <w:r w:rsidR="008D0F42">
              <w:rPr>
                <w:webHidden/>
              </w:rPr>
            </w:r>
            <w:r w:rsidR="008D0F42">
              <w:rPr>
                <w:webHidden/>
              </w:rPr>
              <w:fldChar w:fldCharType="separate"/>
            </w:r>
            <w:r w:rsidR="008D0F42">
              <w:rPr>
                <w:webHidden/>
              </w:rPr>
              <w:t>23</w:t>
            </w:r>
            <w:r w:rsidR="008D0F42">
              <w:rPr>
                <w:webHidden/>
              </w:rPr>
              <w:fldChar w:fldCharType="end"/>
            </w:r>
          </w:hyperlink>
        </w:p>
        <w:p w:rsidR="008D0F42" w:rsidRDefault="000C7C8B">
          <w:pPr>
            <w:pStyle w:val="SK1"/>
            <w:rPr>
              <w:rFonts w:asciiTheme="minorHAnsi" w:eastAsiaTheme="minorEastAsia" w:hAnsiTheme="minorHAnsi" w:cstheme="minorBidi"/>
              <w:b w:val="0"/>
              <w:bCs w:val="0"/>
              <w:sz w:val="22"/>
              <w:szCs w:val="22"/>
              <w:lang w:val="et-EE" w:eastAsia="et-EE"/>
            </w:rPr>
          </w:pPr>
          <w:hyperlink w:anchor="_Toc521395307" w:history="1">
            <w:r w:rsidR="008D0F42" w:rsidRPr="00BE3E44">
              <w:rPr>
                <w:rStyle w:val="Hperlink"/>
              </w:rPr>
              <w:t>8. Tundlikkuse analüüs</w:t>
            </w:r>
            <w:r w:rsidR="008D0F42">
              <w:rPr>
                <w:webHidden/>
              </w:rPr>
              <w:tab/>
            </w:r>
            <w:r w:rsidR="008D0F42">
              <w:rPr>
                <w:webHidden/>
              </w:rPr>
              <w:fldChar w:fldCharType="begin"/>
            </w:r>
            <w:r w:rsidR="008D0F42">
              <w:rPr>
                <w:webHidden/>
              </w:rPr>
              <w:instrText xml:space="preserve"> PAGEREF _Toc521395307 \h </w:instrText>
            </w:r>
            <w:r w:rsidR="008D0F42">
              <w:rPr>
                <w:webHidden/>
              </w:rPr>
            </w:r>
            <w:r w:rsidR="008D0F42">
              <w:rPr>
                <w:webHidden/>
              </w:rPr>
              <w:fldChar w:fldCharType="separate"/>
            </w:r>
            <w:r w:rsidR="008D0F42">
              <w:rPr>
                <w:webHidden/>
              </w:rPr>
              <w:t>25</w:t>
            </w:r>
            <w:r w:rsidR="008D0F42">
              <w:rPr>
                <w:webHidden/>
              </w:rPr>
              <w:fldChar w:fldCharType="end"/>
            </w:r>
          </w:hyperlink>
        </w:p>
        <w:p w:rsidR="00F420E6" w:rsidRPr="00C87892" w:rsidRDefault="00604D49">
          <w:pPr>
            <w:rPr>
              <w:lang w:val="et-EE"/>
            </w:rPr>
          </w:pPr>
          <w:r w:rsidRPr="00C87892">
            <w:rPr>
              <w:lang w:val="et-EE"/>
            </w:rPr>
            <w:fldChar w:fldCharType="end"/>
          </w:r>
        </w:p>
      </w:sdtContent>
    </w:sdt>
    <w:p w:rsidR="006C4311" w:rsidRDefault="006C4311" w:rsidP="006C4311">
      <w:pPr>
        <w:rPr>
          <w:rFonts w:ascii="Calibri" w:eastAsiaTheme="minorHAnsi" w:hAnsi="Calibri" w:cs="Calibri"/>
          <w:sz w:val="22"/>
          <w:szCs w:val="22"/>
          <w:lang w:val="et-EE"/>
        </w:rPr>
      </w:pPr>
    </w:p>
    <w:p w:rsidR="006C4311" w:rsidRPr="00E95D36" w:rsidRDefault="006C4311" w:rsidP="006C4311">
      <w:pPr>
        <w:rPr>
          <w:lang w:val="et-EE"/>
        </w:rPr>
      </w:pPr>
    </w:p>
    <w:p w:rsidR="00C15D61" w:rsidRDefault="00C15D61">
      <w:pPr>
        <w:spacing w:after="200" w:line="276" w:lineRule="auto"/>
        <w:rPr>
          <w:rFonts w:ascii="Trebuchet MS" w:hAnsi="Trebuchet MS"/>
          <w:b/>
          <w:bCs/>
          <w:color w:val="0070C0"/>
          <w:sz w:val="28"/>
          <w:szCs w:val="28"/>
          <w:lang w:val="et-EE"/>
        </w:rPr>
      </w:pPr>
      <w:bookmarkStart w:id="0" w:name="_Toc518437415"/>
      <w:r>
        <w:rPr>
          <w:rFonts w:ascii="Trebuchet MS" w:hAnsi="Trebuchet MS"/>
          <w:color w:val="0070C0"/>
          <w:sz w:val="28"/>
        </w:rPr>
        <w:br w:type="page"/>
      </w:r>
    </w:p>
    <w:p w:rsidR="00924C20" w:rsidRPr="000E7072" w:rsidRDefault="00924C20" w:rsidP="00360D8E">
      <w:pPr>
        <w:pStyle w:val="Pealkiri1"/>
        <w:rPr>
          <w:color w:val="auto"/>
          <w:sz w:val="28"/>
        </w:rPr>
      </w:pPr>
      <w:bookmarkStart w:id="1" w:name="_Toc521395288"/>
      <w:r w:rsidRPr="000E7072">
        <w:rPr>
          <w:color w:val="auto"/>
          <w:sz w:val="28"/>
        </w:rPr>
        <w:lastRenderedPageBreak/>
        <w:t>Sissejuhatus</w:t>
      </w:r>
      <w:bookmarkEnd w:id="1"/>
    </w:p>
    <w:p w:rsidR="00D53F31" w:rsidRPr="00D53F31" w:rsidRDefault="00D53F31" w:rsidP="00D53F31">
      <w:pPr>
        <w:rPr>
          <w:lang w:val="et-EE"/>
        </w:rPr>
      </w:pPr>
    </w:p>
    <w:p w:rsidR="006C4311" w:rsidRPr="000E7072" w:rsidRDefault="006C4311" w:rsidP="008B2E2B">
      <w:pPr>
        <w:autoSpaceDE w:val="0"/>
        <w:autoSpaceDN w:val="0"/>
        <w:adjustRightInd w:val="0"/>
        <w:spacing w:line="276" w:lineRule="auto"/>
        <w:jc w:val="both"/>
        <w:rPr>
          <w:rFonts w:eastAsiaTheme="minorHAnsi"/>
          <w:lang w:val="et-EE"/>
        </w:rPr>
      </w:pPr>
      <w:r w:rsidRPr="000E7072">
        <w:rPr>
          <w:rFonts w:eastAsiaTheme="minorHAnsi"/>
          <w:lang w:val="et-EE"/>
        </w:rPr>
        <w:t>Viru-Nigula valla eelarvestrateegia on koostatud vastavalt kohaliku omavalitsuse üksuse finantsjuhtimise seaduse</w:t>
      </w:r>
      <w:r w:rsidR="00E95D36" w:rsidRPr="000E7072">
        <w:rPr>
          <w:rFonts w:eastAsiaTheme="minorHAnsi"/>
          <w:lang w:val="et-EE"/>
        </w:rPr>
        <w:t>s</w:t>
      </w:r>
      <w:r w:rsidR="00562F80" w:rsidRPr="000E7072">
        <w:rPr>
          <w:rFonts w:eastAsiaTheme="minorHAnsi"/>
          <w:lang w:val="et-EE"/>
        </w:rPr>
        <w:t xml:space="preserve"> (edaspidi KOFS) §</w:t>
      </w:r>
      <w:r w:rsidR="0018457A" w:rsidRPr="000E7072">
        <w:rPr>
          <w:rFonts w:eastAsiaTheme="minorHAnsi"/>
          <w:lang w:val="et-EE"/>
        </w:rPr>
        <w:t xml:space="preserve"> </w:t>
      </w:r>
      <w:r w:rsidRPr="000E7072">
        <w:rPr>
          <w:rFonts w:eastAsiaTheme="minorHAnsi"/>
          <w:lang w:val="et-EE"/>
        </w:rPr>
        <w:t>20 sätestatule. Eelarvestrateegia koostamine on kohalikele omavalitsustele (edaspidi KOV) kohustuslik alates 2012. aastast.</w:t>
      </w:r>
    </w:p>
    <w:p w:rsidR="00E95D36" w:rsidRPr="000E7072" w:rsidRDefault="00E95D36" w:rsidP="00E95D36">
      <w:pPr>
        <w:autoSpaceDE w:val="0"/>
        <w:autoSpaceDN w:val="0"/>
        <w:adjustRightInd w:val="0"/>
        <w:jc w:val="both"/>
        <w:rPr>
          <w:rFonts w:eastAsiaTheme="minorHAnsi"/>
          <w:lang w:val="et-EE"/>
        </w:rPr>
      </w:pPr>
    </w:p>
    <w:p w:rsidR="001F64DA" w:rsidRPr="000E7072" w:rsidRDefault="006C4311" w:rsidP="008B2E2B">
      <w:pPr>
        <w:autoSpaceDE w:val="0"/>
        <w:autoSpaceDN w:val="0"/>
        <w:adjustRightInd w:val="0"/>
        <w:spacing w:line="276" w:lineRule="auto"/>
        <w:jc w:val="both"/>
        <w:rPr>
          <w:rFonts w:eastAsiaTheme="minorHAnsi"/>
          <w:lang w:val="et-EE"/>
        </w:rPr>
      </w:pPr>
      <w:r w:rsidRPr="000E7072">
        <w:rPr>
          <w:rFonts w:eastAsiaTheme="minorHAnsi"/>
          <w:lang w:val="et-EE"/>
        </w:rPr>
        <w:t>Eelarvestrateegia koostamise eesmärk on tagada valla eelarvestamis</w:t>
      </w:r>
      <w:r w:rsidR="00D53F31" w:rsidRPr="000E7072">
        <w:rPr>
          <w:rFonts w:eastAsiaTheme="minorHAnsi"/>
          <w:lang w:val="et-EE"/>
        </w:rPr>
        <w:t>e jätkusuutlik</w:t>
      </w:r>
      <w:r w:rsidR="00562F80" w:rsidRPr="000E7072">
        <w:rPr>
          <w:rFonts w:eastAsiaTheme="minorHAnsi"/>
          <w:lang w:val="et-EE"/>
        </w:rPr>
        <w:t>k</w:t>
      </w:r>
      <w:r w:rsidR="00D53F31" w:rsidRPr="000E7072">
        <w:rPr>
          <w:rFonts w:eastAsiaTheme="minorHAnsi"/>
          <w:lang w:val="et-EE"/>
        </w:rPr>
        <w:t xml:space="preserve">us keskpikas </w:t>
      </w:r>
      <w:r w:rsidR="00EE40D6" w:rsidRPr="000E7072">
        <w:rPr>
          <w:rFonts w:eastAsiaTheme="minorHAnsi"/>
          <w:lang w:val="et-EE"/>
        </w:rPr>
        <w:t xml:space="preserve">ajalises </w:t>
      </w:r>
      <w:r w:rsidR="00D53F31" w:rsidRPr="000E7072">
        <w:rPr>
          <w:rFonts w:eastAsiaTheme="minorHAnsi"/>
          <w:lang w:val="et-EE"/>
        </w:rPr>
        <w:t>raam</w:t>
      </w:r>
      <w:r w:rsidRPr="000E7072">
        <w:rPr>
          <w:rFonts w:eastAsiaTheme="minorHAnsi"/>
          <w:lang w:val="et-EE"/>
        </w:rPr>
        <w:t>istikus.</w:t>
      </w:r>
      <w:r w:rsidR="00E95D36" w:rsidRPr="000E7072">
        <w:rPr>
          <w:rFonts w:eastAsiaTheme="minorHAnsi"/>
          <w:lang w:val="et-EE"/>
        </w:rPr>
        <w:t xml:space="preserve"> Tegemist </w:t>
      </w:r>
      <w:r w:rsidRPr="000E7072">
        <w:rPr>
          <w:rFonts w:eastAsiaTheme="minorHAnsi"/>
          <w:lang w:val="et-EE"/>
        </w:rPr>
        <w:t>on eelseisvate aastate rahalisi võimalusi käsitlev</w:t>
      </w:r>
      <w:r w:rsidR="00E95D36" w:rsidRPr="000E7072">
        <w:rPr>
          <w:rFonts w:eastAsiaTheme="minorHAnsi"/>
          <w:lang w:val="et-EE"/>
        </w:rPr>
        <w:t>a</w:t>
      </w:r>
      <w:r w:rsidRPr="000E7072">
        <w:rPr>
          <w:rFonts w:eastAsiaTheme="minorHAnsi"/>
          <w:lang w:val="et-EE"/>
        </w:rPr>
        <w:t xml:space="preserve"> finantsplaan</w:t>
      </w:r>
      <w:r w:rsidR="00E95D36" w:rsidRPr="000E7072">
        <w:rPr>
          <w:rFonts w:eastAsiaTheme="minorHAnsi"/>
          <w:lang w:val="et-EE"/>
        </w:rPr>
        <w:t>iga</w:t>
      </w:r>
      <w:r w:rsidRPr="000E7072">
        <w:rPr>
          <w:rFonts w:eastAsiaTheme="minorHAnsi"/>
          <w:lang w:val="et-EE"/>
        </w:rPr>
        <w:t>,</w:t>
      </w:r>
      <w:r w:rsidR="00E95D36" w:rsidRPr="000E7072">
        <w:rPr>
          <w:rFonts w:eastAsiaTheme="minorHAnsi"/>
          <w:lang w:val="et-EE"/>
        </w:rPr>
        <w:t xml:space="preserve"> </w:t>
      </w:r>
      <w:r w:rsidRPr="000E7072">
        <w:rPr>
          <w:rFonts w:eastAsiaTheme="minorHAnsi"/>
          <w:lang w:val="et-EE"/>
        </w:rPr>
        <w:t xml:space="preserve">mis lähtub selle koostamise hetkel </w:t>
      </w:r>
      <w:r w:rsidR="00E95D36" w:rsidRPr="000E7072">
        <w:rPr>
          <w:rFonts w:eastAsiaTheme="minorHAnsi"/>
          <w:lang w:val="et-EE"/>
        </w:rPr>
        <w:t xml:space="preserve">kasutada olnud </w:t>
      </w:r>
      <w:r w:rsidRPr="000E7072">
        <w:rPr>
          <w:rFonts w:eastAsiaTheme="minorHAnsi"/>
          <w:lang w:val="et-EE"/>
        </w:rPr>
        <w:t>tea</w:t>
      </w:r>
      <w:r w:rsidR="00E95D36" w:rsidRPr="000E7072">
        <w:rPr>
          <w:rFonts w:eastAsiaTheme="minorHAnsi"/>
          <w:lang w:val="et-EE"/>
        </w:rPr>
        <w:t>best ja poliitilistest seisukohtadest</w:t>
      </w:r>
      <w:r w:rsidRPr="000E7072">
        <w:rPr>
          <w:rFonts w:eastAsiaTheme="minorHAnsi"/>
          <w:lang w:val="et-EE"/>
        </w:rPr>
        <w:t xml:space="preserve">. </w:t>
      </w:r>
      <w:r w:rsidR="00EE40D6" w:rsidRPr="000E7072">
        <w:rPr>
          <w:rFonts w:eastAsiaTheme="minorHAnsi"/>
          <w:lang w:val="et-EE"/>
        </w:rPr>
        <w:t xml:space="preserve">Eelarvestrateegia koostati valla arengukavaga samaaegselt. </w:t>
      </w:r>
      <w:r w:rsidR="00303E30" w:rsidRPr="000E7072">
        <w:rPr>
          <w:rFonts w:eastAsiaTheme="minorHAnsi"/>
          <w:lang w:val="et-EE"/>
        </w:rPr>
        <w:t>Sellise sammuga sooviti saavutada nimetatud kahe dokumendi parem läbimõtestatus ja kooskõla, samuti</w:t>
      </w:r>
      <w:r w:rsidR="00EE40D6" w:rsidRPr="000E7072">
        <w:rPr>
          <w:lang w:val="et-EE"/>
        </w:rPr>
        <w:t xml:space="preserve"> mõjusam ja tõhusam kohaliku omavalitsuse ülesannete täitmine, </w:t>
      </w:r>
      <w:r w:rsidR="00303E30" w:rsidRPr="000E7072">
        <w:rPr>
          <w:lang w:val="et-EE"/>
        </w:rPr>
        <w:t xml:space="preserve">parem </w:t>
      </w:r>
      <w:r w:rsidR="00EE40D6" w:rsidRPr="000E7072">
        <w:rPr>
          <w:lang w:val="et-EE"/>
        </w:rPr>
        <w:t xml:space="preserve">eri valdkondade valitsemise koostöö </w:t>
      </w:r>
      <w:r w:rsidR="00303E30" w:rsidRPr="000E7072">
        <w:rPr>
          <w:lang w:val="et-EE"/>
        </w:rPr>
        <w:t>ning</w:t>
      </w:r>
      <w:r w:rsidR="00EE40D6" w:rsidRPr="000E7072">
        <w:rPr>
          <w:lang w:val="et-EE"/>
        </w:rPr>
        <w:t xml:space="preserve"> </w:t>
      </w:r>
      <w:r w:rsidR="00303E30" w:rsidRPr="000E7072">
        <w:rPr>
          <w:lang w:val="et-EE"/>
        </w:rPr>
        <w:t xml:space="preserve">suurem </w:t>
      </w:r>
      <w:r w:rsidR="00EE40D6" w:rsidRPr="000E7072">
        <w:rPr>
          <w:lang w:val="et-EE"/>
        </w:rPr>
        <w:t xml:space="preserve">selgus, et mida avaliku rahaga tehakse. </w:t>
      </w:r>
      <w:r w:rsidR="00562F80" w:rsidRPr="000E7072">
        <w:rPr>
          <w:rFonts w:eastAsiaTheme="minorHAnsi"/>
          <w:lang w:val="et-EE"/>
        </w:rPr>
        <w:t>Vastavalt KOFS §</w:t>
      </w:r>
      <w:r w:rsidR="00BB40AC" w:rsidRPr="000E7072">
        <w:rPr>
          <w:rFonts w:eastAsiaTheme="minorHAnsi"/>
          <w:lang w:val="et-EE"/>
        </w:rPr>
        <w:t xml:space="preserve"> </w:t>
      </w:r>
      <w:r w:rsidR="00E95D36" w:rsidRPr="000E7072">
        <w:rPr>
          <w:rFonts w:eastAsiaTheme="minorHAnsi"/>
          <w:lang w:val="et-EE"/>
        </w:rPr>
        <w:t xml:space="preserve">20 lõikele 1 </w:t>
      </w:r>
      <w:r w:rsidR="00303E30" w:rsidRPr="000E7072">
        <w:rPr>
          <w:rFonts w:eastAsiaTheme="minorHAnsi"/>
          <w:lang w:val="et-EE"/>
        </w:rPr>
        <w:t xml:space="preserve">on </w:t>
      </w:r>
      <w:r w:rsidR="00E95D36" w:rsidRPr="000E7072">
        <w:rPr>
          <w:rFonts w:eastAsiaTheme="minorHAnsi"/>
          <w:lang w:val="et-EE"/>
        </w:rPr>
        <w:t xml:space="preserve">eelarvestrateegia </w:t>
      </w:r>
      <w:r w:rsidR="00303E30" w:rsidRPr="000E7072">
        <w:rPr>
          <w:rFonts w:eastAsiaTheme="minorHAnsi"/>
          <w:lang w:val="et-EE"/>
        </w:rPr>
        <w:t xml:space="preserve">suunatud </w:t>
      </w:r>
      <w:r w:rsidR="00E95D36" w:rsidRPr="000E7072">
        <w:rPr>
          <w:rFonts w:eastAsiaTheme="minorHAnsi"/>
          <w:lang w:val="et-EE"/>
        </w:rPr>
        <w:t xml:space="preserve">arengukavas püstitatud eesmärkide </w:t>
      </w:r>
      <w:r w:rsidR="00303E30" w:rsidRPr="000E7072">
        <w:rPr>
          <w:rFonts w:eastAsiaTheme="minorHAnsi"/>
          <w:lang w:val="et-EE"/>
        </w:rPr>
        <w:t>täitmisele</w:t>
      </w:r>
      <w:r w:rsidR="00E95D36" w:rsidRPr="000E7072">
        <w:rPr>
          <w:rFonts w:eastAsiaTheme="minorHAnsi"/>
          <w:lang w:val="et-EE"/>
        </w:rPr>
        <w:t xml:space="preserve">. </w:t>
      </w:r>
      <w:r w:rsidR="001F64DA" w:rsidRPr="000E7072">
        <w:rPr>
          <w:rFonts w:eastAsiaTheme="minorHAnsi"/>
          <w:lang w:val="et-EE"/>
        </w:rPr>
        <w:t xml:space="preserve">Eelarvestrateegiat uuendatakse igal </w:t>
      </w:r>
      <w:r w:rsidR="00BD58C9" w:rsidRPr="000E7072">
        <w:rPr>
          <w:rFonts w:eastAsiaTheme="minorHAnsi"/>
          <w:lang w:val="et-EE"/>
        </w:rPr>
        <w:t>aastal 15. oktoobriks</w:t>
      </w:r>
      <w:r w:rsidR="00562F80" w:rsidRPr="000E7072">
        <w:rPr>
          <w:rFonts w:eastAsiaTheme="minorHAnsi"/>
          <w:lang w:val="et-EE"/>
        </w:rPr>
        <w:t>,</w:t>
      </w:r>
      <w:r w:rsidR="001F64DA" w:rsidRPr="000E7072">
        <w:rPr>
          <w:rFonts w:eastAsiaTheme="minorHAnsi"/>
          <w:lang w:val="et-EE"/>
        </w:rPr>
        <w:t xml:space="preserve"> täpsustades eelseisva aasta kavasid ning täiendades prognoosi aasta võrra. Seega kohandatakse valla keskpika ajavahemiku plaane vastavalt muutustele majanduskeskkonna</w:t>
      </w:r>
      <w:r w:rsidR="00C85280" w:rsidRPr="000E7072">
        <w:rPr>
          <w:rFonts w:eastAsiaTheme="minorHAnsi"/>
          <w:lang w:val="et-EE"/>
        </w:rPr>
        <w:t>s ning valla arengu eesmärkidele</w:t>
      </w:r>
      <w:r w:rsidR="001F64DA" w:rsidRPr="000E7072">
        <w:rPr>
          <w:rFonts w:eastAsiaTheme="minorHAnsi"/>
          <w:lang w:val="et-EE"/>
        </w:rPr>
        <w:t>.</w:t>
      </w:r>
    </w:p>
    <w:p w:rsidR="00303E30" w:rsidRPr="000E7072" w:rsidRDefault="00303E30" w:rsidP="008B2E2B">
      <w:pPr>
        <w:autoSpaceDE w:val="0"/>
        <w:autoSpaceDN w:val="0"/>
        <w:adjustRightInd w:val="0"/>
        <w:spacing w:line="276" w:lineRule="auto"/>
        <w:jc w:val="both"/>
        <w:rPr>
          <w:rFonts w:eastAsiaTheme="minorHAnsi"/>
          <w:lang w:val="et-EE"/>
        </w:rPr>
      </w:pPr>
    </w:p>
    <w:p w:rsidR="00EE40D6" w:rsidRPr="000E7072" w:rsidRDefault="00303E30" w:rsidP="008B2E2B">
      <w:pPr>
        <w:autoSpaceDE w:val="0"/>
        <w:autoSpaceDN w:val="0"/>
        <w:adjustRightInd w:val="0"/>
        <w:spacing w:line="276" w:lineRule="auto"/>
        <w:jc w:val="both"/>
        <w:rPr>
          <w:rFonts w:eastAsiaTheme="minorHAnsi"/>
          <w:lang w:val="et-EE"/>
        </w:rPr>
      </w:pPr>
      <w:r w:rsidRPr="000E7072">
        <w:rPr>
          <w:rFonts w:eastAsiaTheme="minorHAnsi"/>
          <w:lang w:val="et-EE"/>
        </w:rPr>
        <w:t>Eelarvestrateegias</w:t>
      </w:r>
      <w:r w:rsidR="00E95D36" w:rsidRPr="000E7072">
        <w:rPr>
          <w:rFonts w:eastAsiaTheme="minorHAnsi"/>
          <w:lang w:val="et-EE"/>
        </w:rPr>
        <w:t xml:space="preserve"> esitatakse kohaliku omavalitsuse üksuse majandusliku olukorra analüüs ja prognoos perioodiks 2018-2023, mis hõlmab eelarvestrateegia vastuvõtmisele eelnenud aasta tegelikud, jooksva aasta eeldatavad ja eelarvestrateegia perioodiks prognoositavad põhitegevuse kulud, olulisemad tegevused investeeringute osas, investeeringute kogumaksumuse prognoosi ja võimalikud finantseerimisallikad</w:t>
      </w:r>
      <w:r w:rsidR="00EE40D6" w:rsidRPr="000E7072">
        <w:rPr>
          <w:rFonts w:eastAsiaTheme="minorHAnsi"/>
          <w:lang w:val="et-EE"/>
        </w:rPr>
        <w:t xml:space="preserve">. Tuuakse välja </w:t>
      </w:r>
      <w:r w:rsidR="00E95D36" w:rsidRPr="000E7072">
        <w:rPr>
          <w:rFonts w:eastAsiaTheme="minorHAnsi"/>
          <w:lang w:val="et-EE"/>
        </w:rPr>
        <w:t>eeldatav finantseerimistegevuse maht</w:t>
      </w:r>
      <w:r w:rsidR="004E0C0D" w:rsidRPr="000E7072">
        <w:rPr>
          <w:rFonts w:eastAsiaTheme="minorHAnsi"/>
          <w:lang w:val="et-EE"/>
        </w:rPr>
        <w:t xml:space="preserve"> vaadeldaval perioodil</w:t>
      </w:r>
      <w:r w:rsidR="00E95D36" w:rsidRPr="000E7072">
        <w:rPr>
          <w:rFonts w:eastAsiaTheme="minorHAnsi"/>
          <w:lang w:val="et-EE"/>
        </w:rPr>
        <w:t xml:space="preserve"> ja likviidsete varade muutus, </w:t>
      </w:r>
      <w:r w:rsidR="004E0C0D" w:rsidRPr="000E7072">
        <w:rPr>
          <w:rFonts w:eastAsiaTheme="minorHAnsi"/>
          <w:lang w:val="et-EE"/>
        </w:rPr>
        <w:t xml:space="preserve">samuti </w:t>
      </w:r>
      <w:r w:rsidR="00E95D36" w:rsidRPr="000E7072">
        <w:rPr>
          <w:rFonts w:eastAsiaTheme="minorHAnsi"/>
          <w:lang w:val="et-EE"/>
        </w:rPr>
        <w:t>informatsioon eelarvestrateegia perioodiks kavandatavatest kohalike maksude ja maamaksumäära muudatustest.</w:t>
      </w:r>
      <w:r w:rsidR="00EE40D6" w:rsidRPr="000E7072">
        <w:rPr>
          <w:rFonts w:eastAsiaTheme="minorHAnsi"/>
          <w:lang w:val="et-EE"/>
        </w:rPr>
        <w:t xml:space="preserve"> Eelarvestrateegia on aluseks </w:t>
      </w:r>
      <w:r w:rsidR="004E0C0D" w:rsidRPr="000E7072">
        <w:rPr>
          <w:rFonts w:eastAsiaTheme="minorHAnsi"/>
          <w:lang w:val="et-EE"/>
        </w:rPr>
        <w:t xml:space="preserve">valla </w:t>
      </w:r>
      <w:r w:rsidR="00EE40D6" w:rsidRPr="000E7072">
        <w:rPr>
          <w:rFonts w:eastAsiaTheme="minorHAnsi"/>
          <w:lang w:val="et-EE"/>
        </w:rPr>
        <w:t>iga-aastase eelarve eelnõu koostamisele.</w:t>
      </w:r>
    </w:p>
    <w:p w:rsidR="001F64DA" w:rsidRPr="000E7072" w:rsidRDefault="001F64DA" w:rsidP="008B2E2B">
      <w:pPr>
        <w:spacing w:line="276" w:lineRule="auto"/>
        <w:jc w:val="both"/>
        <w:rPr>
          <w:lang w:val="et-EE"/>
        </w:rPr>
      </w:pPr>
    </w:p>
    <w:p w:rsidR="001F64DA" w:rsidRPr="000E7072" w:rsidRDefault="00736C6D" w:rsidP="008B2E2B">
      <w:pPr>
        <w:spacing w:line="276" w:lineRule="auto"/>
        <w:jc w:val="both"/>
        <w:rPr>
          <w:lang w:val="et-EE"/>
        </w:rPr>
      </w:pPr>
      <w:r w:rsidRPr="000E7072">
        <w:rPr>
          <w:lang w:val="et-EE"/>
        </w:rPr>
        <w:t>Eelarvestrateegia koostamis</w:t>
      </w:r>
      <w:r w:rsidR="001F64DA" w:rsidRPr="000E7072">
        <w:rPr>
          <w:lang w:val="et-EE"/>
        </w:rPr>
        <w:t xml:space="preserve">eks moodustati </w:t>
      </w:r>
      <w:r w:rsidRPr="000E7072">
        <w:rPr>
          <w:lang w:val="et-EE"/>
        </w:rPr>
        <w:t>juhtrühm, kuhu kuulusid Riho Kutsar (v</w:t>
      </w:r>
      <w:r w:rsidR="00562F80" w:rsidRPr="000E7072">
        <w:rPr>
          <w:lang w:val="et-EE"/>
        </w:rPr>
        <w:t>olikogu esimees), Einar Vallbaum</w:t>
      </w:r>
      <w:r w:rsidRPr="000E7072">
        <w:rPr>
          <w:lang w:val="et-EE"/>
        </w:rPr>
        <w:t xml:space="preserve"> (vallavanem), Raido Tetto (majandusvaldkonna juht), Krista Engelbrecht (vallasekretär), </w:t>
      </w:r>
      <w:r w:rsidRPr="000E7072">
        <w:rPr>
          <w:lang w:val="et-EE" w:eastAsia="et-EE"/>
        </w:rPr>
        <w:t>Eve Ojala-Bakradze (arendusjuht), Helen Ruberg</w:t>
      </w:r>
      <w:r w:rsidR="00EF7309">
        <w:rPr>
          <w:lang w:val="et-EE" w:eastAsia="et-EE"/>
        </w:rPr>
        <w:t>, hiljem Egle Järvepere</w:t>
      </w:r>
      <w:r w:rsidRPr="000E7072">
        <w:rPr>
          <w:lang w:val="et-EE" w:eastAsia="et-EE"/>
        </w:rPr>
        <w:t xml:space="preserve"> (finantsjuht), </w:t>
      </w:r>
      <w:bookmarkStart w:id="2" w:name="_GoBack"/>
      <w:bookmarkEnd w:id="2"/>
      <w:r w:rsidRPr="000E7072">
        <w:rPr>
          <w:lang w:val="et-EE" w:eastAsia="et-EE"/>
        </w:rPr>
        <w:t>Merike Trumm (haridusjuht), Annika Kapp (sotsiaalvaldkonna juht), Keio Soomelt (kultuuri- ja noorsootöö juht), Ainar Sepnik (spordijuht), Meelis Parijõgi (volikogu arengukomisjoni esimees), Allan Aron (volikogu eelarvekomisjoni esimees), Maret Roots (eakate esindaja), Kent Kerner (õpilaste esindaja), Ott Penek (mittetulundusühingute esindaja) ja Ervins Veitsurs (</w:t>
      </w:r>
      <w:r w:rsidRPr="00025237">
        <w:rPr>
          <w:lang w:val="et-EE" w:eastAsia="et-EE"/>
        </w:rPr>
        <w:t xml:space="preserve">volikogu arengukomisjoni esindaja). Töösse andsid oma sisendi </w:t>
      </w:r>
      <w:r w:rsidRPr="00025237">
        <w:rPr>
          <w:lang w:val="et-EE"/>
        </w:rPr>
        <w:t xml:space="preserve">eelarvestrateegia töörühm (vastutaja finantsjuht </w:t>
      </w:r>
      <w:r w:rsidRPr="00025237">
        <w:rPr>
          <w:lang w:val="et-EE" w:eastAsia="et-EE"/>
        </w:rPr>
        <w:t>Helen Ruberg</w:t>
      </w:r>
      <w:r w:rsidR="00EF7309">
        <w:rPr>
          <w:lang w:val="et-EE" w:eastAsia="et-EE"/>
        </w:rPr>
        <w:t>, hiljem</w:t>
      </w:r>
      <w:r w:rsidR="00AA70F3">
        <w:rPr>
          <w:lang w:val="et-EE" w:eastAsia="et-EE"/>
        </w:rPr>
        <w:t xml:space="preserve"> Egle Järvepere</w:t>
      </w:r>
      <w:r w:rsidRPr="00025237">
        <w:rPr>
          <w:lang w:val="et-EE" w:eastAsia="et-EE"/>
        </w:rPr>
        <w:t xml:space="preserve">), haridusvaldkonna töörühm (vastutaja </w:t>
      </w:r>
      <w:r w:rsidR="001F1393" w:rsidRPr="00025237">
        <w:rPr>
          <w:lang w:val="et-EE" w:eastAsia="et-EE"/>
        </w:rPr>
        <w:t>haridusjuht Merike Tru</w:t>
      </w:r>
      <w:r w:rsidRPr="00025237">
        <w:rPr>
          <w:lang w:val="et-EE" w:eastAsia="et-EE"/>
        </w:rPr>
        <w:t>mm), kultuuri- ja spordivaldkonna töörühm (vastutaja spordijuht Ainar Sepnik), sotsiaal- ja tervishoiuvaldkonna</w:t>
      </w:r>
      <w:r w:rsidRPr="000E7072">
        <w:rPr>
          <w:lang w:val="et-EE" w:eastAsia="et-EE"/>
        </w:rPr>
        <w:t xml:space="preserve"> töörühm (vastutaja sotsiaalvaldkonna</w:t>
      </w:r>
      <w:r w:rsidR="00562F80" w:rsidRPr="000E7072">
        <w:rPr>
          <w:lang w:val="et-EE" w:eastAsia="et-EE"/>
        </w:rPr>
        <w:t xml:space="preserve"> </w:t>
      </w:r>
      <w:r w:rsidRPr="000E7072">
        <w:rPr>
          <w:lang w:val="et-EE" w:eastAsia="et-EE"/>
        </w:rPr>
        <w:t xml:space="preserve">juht Annika Kapp) ja majandusvaldkonna töörühm (vastutaja </w:t>
      </w:r>
      <w:r w:rsidRPr="00025237">
        <w:rPr>
          <w:lang w:val="et-EE" w:eastAsia="et-EE"/>
        </w:rPr>
        <w:lastRenderedPageBreak/>
        <w:t>majandusvaldkonna juht Raido Tetto)</w:t>
      </w:r>
      <w:r w:rsidRPr="00025237">
        <w:rPr>
          <w:rStyle w:val="Allmrkuseviide"/>
          <w:lang w:eastAsia="et-EE"/>
        </w:rPr>
        <w:footnoteReference w:id="1"/>
      </w:r>
      <w:r w:rsidRPr="00025237">
        <w:rPr>
          <w:lang w:val="et-EE" w:eastAsia="et-EE"/>
        </w:rPr>
        <w:t xml:space="preserve">. </w:t>
      </w:r>
      <w:r w:rsidR="001F64DA" w:rsidRPr="00025237">
        <w:rPr>
          <w:lang w:val="et-EE" w:eastAsia="et-EE"/>
        </w:rPr>
        <w:t>T</w:t>
      </w:r>
      <w:r w:rsidR="001F64DA" w:rsidRPr="00025237">
        <w:rPr>
          <w:lang w:val="et-EE"/>
        </w:rPr>
        <w:t xml:space="preserve">öö käigus viidi </w:t>
      </w:r>
      <w:r w:rsidR="00562F80" w:rsidRPr="00025237">
        <w:rPr>
          <w:lang w:val="et-EE"/>
        </w:rPr>
        <w:t xml:space="preserve">läbi </w:t>
      </w:r>
      <w:r w:rsidR="001F64DA" w:rsidRPr="00025237">
        <w:rPr>
          <w:lang w:val="et-EE"/>
        </w:rPr>
        <w:t>seminari</w:t>
      </w:r>
      <w:r w:rsidR="00562F80" w:rsidRPr="00025237">
        <w:rPr>
          <w:lang w:val="et-EE"/>
        </w:rPr>
        <w:t>d</w:t>
      </w:r>
      <w:r w:rsidR="001F64DA" w:rsidRPr="00025237">
        <w:rPr>
          <w:lang w:val="et-EE"/>
        </w:rPr>
        <w:t xml:space="preserve">, kus kõigil </w:t>
      </w:r>
      <w:r w:rsidR="00562F80" w:rsidRPr="00025237">
        <w:rPr>
          <w:lang w:val="et-EE"/>
        </w:rPr>
        <w:t>osalenu</w:t>
      </w:r>
      <w:r w:rsidR="001F64DA" w:rsidRPr="00025237">
        <w:rPr>
          <w:lang w:val="et-EE"/>
        </w:rPr>
        <w:t xml:space="preserve">tel oli võimalus oma seisukohtade esitamiseks. </w:t>
      </w:r>
      <w:r w:rsidR="001F64DA" w:rsidRPr="00FA1D17">
        <w:rPr>
          <w:color w:val="FF0000"/>
          <w:lang w:val="et-EE"/>
        </w:rPr>
        <w:t>Dokumend</w:t>
      </w:r>
      <w:r w:rsidR="007C08F5" w:rsidRPr="00FA1D17">
        <w:rPr>
          <w:color w:val="FF0000"/>
          <w:lang w:val="et-EE"/>
        </w:rPr>
        <w:t>i avalikustamise käigus toimusid augustis</w:t>
      </w:r>
      <w:r w:rsidR="001F64DA" w:rsidRPr="00FA1D17">
        <w:rPr>
          <w:color w:val="FF0000"/>
          <w:lang w:val="et-EE"/>
        </w:rPr>
        <w:t xml:space="preserve"> piirkondlikud kohtumised Aseri rahvamajas, Viru-Nigula rahvamajas </w:t>
      </w:r>
      <w:r w:rsidR="00B350B0" w:rsidRPr="00FA1D17">
        <w:rPr>
          <w:color w:val="FF0000"/>
          <w:lang w:val="et-EE"/>
        </w:rPr>
        <w:t xml:space="preserve">ja Kunda päevakeskuses, kuhu </w:t>
      </w:r>
      <w:r w:rsidR="001F64DA" w:rsidRPr="00FA1D17">
        <w:rPr>
          <w:color w:val="FF0000"/>
          <w:lang w:val="et-EE"/>
        </w:rPr>
        <w:t xml:space="preserve">kõik </w:t>
      </w:r>
      <w:r w:rsidR="007C08F5" w:rsidRPr="00FA1D17">
        <w:rPr>
          <w:color w:val="FF0000"/>
          <w:lang w:val="et-EE"/>
        </w:rPr>
        <w:t xml:space="preserve">olid </w:t>
      </w:r>
      <w:r w:rsidR="001F64DA" w:rsidRPr="00FA1D17">
        <w:rPr>
          <w:color w:val="FF0000"/>
          <w:lang w:val="et-EE"/>
        </w:rPr>
        <w:t>oodatud kaasa mõtlema ja oma ettepanekuid valla arendustegevuse tarvis esitama.</w:t>
      </w:r>
      <w:r w:rsidR="001F64DA" w:rsidRPr="000E7072">
        <w:rPr>
          <w:lang w:val="et-EE"/>
        </w:rPr>
        <w:t xml:space="preserve"> </w:t>
      </w:r>
    </w:p>
    <w:p w:rsidR="001F64DA" w:rsidRPr="000E7072" w:rsidRDefault="00736C6D" w:rsidP="008B2E2B">
      <w:pPr>
        <w:spacing w:before="100" w:beforeAutospacing="1" w:after="100" w:afterAutospacing="1" w:line="276" w:lineRule="auto"/>
        <w:jc w:val="both"/>
        <w:rPr>
          <w:lang w:val="et-EE" w:eastAsia="et-EE"/>
        </w:rPr>
      </w:pPr>
      <w:r w:rsidRPr="000E7072">
        <w:rPr>
          <w:lang w:val="et-EE"/>
        </w:rPr>
        <w:t xml:space="preserve">Kõiki </w:t>
      </w:r>
      <w:r w:rsidR="001F64DA" w:rsidRPr="000E7072">
        <w:rPr>
          <w:lang w:val="et-EE"/>
        </w:rPr>
        <w:t>eelarvestrateegia</w:t>
      </w:r>
      <w:r w:rsidRPr="000E7072">
        <w:rPr>
          <w:lang w:val="et-EE"/>
        </w:rPr>
        <w:t xml:space="preserve"> koostamisega seotud tegevusi vallas koordineeris </w:t>
      </w:r>
      <w:r w:rsidR="001F64DA" w:rsidRPr="000E7072">
        <w:rPr>
          <w:lang w:val="et-EE"/>
        </w:rPr>
        <w:t xml:space="preserve">Viru-Nigula </w:t>
      </w:r>
      <w:r w:rsidRPr="000E7072">
        <w:rPr>
          <w:lang w:val="et-EE"/>
        </w:rPr>
        <w:t xml:space="preserve">valla arendusjuht </w:t>
      </w:r>
      <w:r w:rsidRPr="000E7072">
        <w:rPr>
          <w:lang w:val="et-EE" w:eastAsia="et-EE"/>
        </w:rPr>
        <w:t xml:space="preserve">Eve Ojala-Bakradze. </w:t>
      </w:r>
      <w:r w:rsidR="001F64DA" w:rsidRPr="000E7072">
        <w:rPr>
          <w:lang w:val="et-EE" w:eastAsia="et-EE"/>
        </w:rPr>
        <w:t>E</w:t>
      </w:r>
      <w:r w:rsidR="001F64DA" w:rsidRPr="000E7072">
        <w:rPr>
          <w:lang w:val="et-EE"/>
        </w:rPr>
        <w:t>elarvestrateegia teksti panid kokku Tähve Milt ja Rivo Noorkõiv Konsultatsiooni- ja koolituskeskusest Geomedia.</w:t>
      </w:r>
    </w:p>
    <w:p w:rsidR="008C75F9" w:rsidRDefault="001F64DA" w:rsidP="005E37B9">
      <w:pPr>
        <w:spacing w:before="100" w:beforeAutospacing="1" w:after="100" w:afterAutospacing="1" w:line="276" w:lineRule="auto"/>
        <w:jc w:val="both"/>
        <w:rPr>
          <w:lang w:val="et-EE"/>
        </w:rPr>
      </w:pPr>
      <w:r w:rsidRPr="000E7072">
        <w:rPr>
          <w:lang w:val="et-EE" w:eastAsia="et-EE"/>
        </w:rPr>
        <w:t>Eelarvestrateegia ja a</w:t>
      </w:r>
      <w:r w:rsidR="00736C6D" w:rsidRPr="000E7072">
        <w:rPr>
          <w:lang w:val="et-EE" w:eastAsia="et-EE"/>
        </w:rPr>
        <w:t xml:space="preserve">rengukava </w:t>
      </w:r>
      <w:r w:rsidRPr="000E7072">
        <w:rPr>
          <w:lang w:val="et-EE" w:eastAsia="et-EE"/>
        </w:rPr>
        <w:t>ning</w:t>
      </w:r>
      <w:r w:rsidR="00736C6D" w:rsidRPr="000E7072">
        <w:rPr>
          <w:lang w:val="et-EE" w:eastAsia="et-EE"/>
        </w:rPr>
        <w:t xml:space="preserve"> selle koostamise töödokumendid on kättesaadavad Viru-Nigula valla veebilehel.</w:t>
      </w:r>
      <w:r w:rsidR="00736C6D" w:rsidRPr="000E7072">
        <w:rPr>
          <w:lang w:val="et-EE"/>
        </w:rPr>
        <w:t xml:space="preserve"> </w:t>
      </w:r>
    </w:p>
    <w:p w:rsidR="002133E3" w:rsidRPr="000E7072" w:rsidRDefault="002133E3" w:rsidP="005E37B9">
      <w:pPr>
        <w:spacing w:before="100" w:beforeAutospacing="1" w:after="100" w:afterAutospacing="1" w:line="276" w:lineRule="auto"/>
        <w:jc w:val="both"/>
        <w:rPr>
          <w:lang w:val="et-EE"/>
        </w:rPr>
      </w:pPr>
    </w:p>
    <w:p w:rsidR="00924C20" w:rsidRPr="00B7675B" w:rsidRDefault="00B7299D" w:rsidP="00360D8E">
      <w:pPr>
        <w:pStyle w:val="Pealkiri1"/>
        <w:rPr>
          <w:color w:val="auto"/>
          <w:sz w:val="28"/>
        </w:rPr>
      </w:pPr>
      <w:bookmarkStart w:id="3" w:name="_Toc521395289"/>
      <w:r w:rsidRPr="00B7675B">
        <w:rPr>
          <w:color w:val="auto"/>
          <w:sz w:val="28"/>
        </w:rPr>
        <w:t>1.</w:t>
      </w:r>
      <w:r w:rsidR="007C08F5" w:rsidRPr="00B7675B">
        <w:rPr>
          <w:color w:val="auto"/>
          <w:sz w:val="28"/>
        </w:rPr>
        <w:t xml:space="preserve"> </w:t>
      </w:r>
      <w:r w:rsidRPr="00B7675B">
        <w:rPr>
          <w:color w:val="auto"/>
          <w:sz w:val="28"/>
        </w:rPr>
        <w:t>Majanduslik olukord riigis</w:t>
      </w:r>
      <w:bookmarkEnd w:id="3"/>
    </w:p>
    <w:p w:rsidR="00924C20" w:rsidRPr="00B7675B" w:rsidRDefault="00B7299D" w:rsidP="00360D8E">
      <w:pPr>
        <w:pStyle w:val="Pealkiri2"/>
        <w:rPr>
          <w:rFonts w:ascii="Times New Roman" w:hAnsi="Times New Roman" w:cs="Times New Roman"/>
          <w:color w:val="auto"/>
          <w:sz w:val="24"/>
          <w:szCs w:val="24"/>
          <w:lang w:val="et-EE"/>
        </w:rPr>
      </w:pPr>
      <w:bookmarkStart w:id="4" w:name="_Toc521395290"/>
      <w:bookmarkEnd w:id="0"/>
      <w:r w:rsidRPr="00B7675B">
        <w:rPr>
          <w:rFonts w:ascii="Times New Roman" w:hAnsi="Times New Roman" w:cs="Times New Roman"/>
          <w:color w:val="auto"/>
          <w:sz w:val="24"/>
          <w:szCs w:val="24"/>
          <w:lang w:val="et-EE"/>
        </w:rPr>
        <w:t>1</w:t>
      </w:r>
      <w:r w:rsidR="00924C20" w:rsidRPr="00B7675B">
        <w:rPr>
          <w:rFonts w:ascii="Times New Roman" w:hAnsi="Times New Roman" w:cs="Times New Roman"/>
          <w:color w:val="auto"/>
          <w:sz w:val="24"/>
          <w:szCs w:val="24"/>
          <w:lang w:val="et-EE"/>
        </w:rPr>
        <w:t>.1</w:t>
      </w:r>
      <w:r w:rsidR="00D06485">
        <w:rPr>
          <w:rFonts w:ascii="Times New Roman" w:hAnsi="Times New Roman" w:cs="Times New Roman"/>
          <w:color w:val="auto"/>
          <w:sz w:val="24"/>
          <w:szCs w:val="24"/>
          <w:lang w:val="et-EE"/>
        </w:rPr>
        <w:t>.</w:t>
      </w:r>
      <w:r w:rsidR="00924C20" w:rsidRPr="00B7675B">
        <w:rPr>
          <w:rFonts w:ascii="Times New Roman" w:hAnsi="Times New Roman" w:cs="Times New Roman"/>
          <w:color w:val="auto"/>
          <w:sz w:val="24"/>
          <w:szCs w:val="24"/>
          <w:lang w:val="et-EE"/>
        </w:rPr>
        <w:t xml:space="preserve"> Riigi eelarvestrateegia 2019-2022 ja majanduse üldtrendid</w:t>
      </w:r>
      <w:bookmarkEnd w:id="4"/>
    </w:p>
    <w:p w:rsidR="00924C20" w:rsidRPr="007C08F5" w:rsidRDefault="00924C20" w:rsidP="00924C20">
      <w:pPr>
        <w:rPr>
          <w:rFonts w:ascii="Trebuchet MS" w:hAnsi="Trebuchet MS"/>
          <w:b/>
          <w:lang w:val="et-EE"/>
        </w:rPr>
      </w:pPr>
    </w:p>
    <w:p w:rsidR="00D72106" w:rsidRPr="00B7675B" w:rsidRDefault="00D72106" w:rsidP="00667A9D">
      <w:pPr>
        <w:pStyle w:val="Default"/>
        <w:spacing w:line="276" w:lineRule="auto"/>
        <w:jc w:val="both"/>
        <w:rPr>
          <w:lang w:val="et-EE"/>
        </w:rPr>
      </w:pPr>
      <w:r w:rsidRPr="00B7675B">
        <w:rPr>
          <w:bCs/>
          <w:lang w:val="et-EE"/>
        </w:rPr>
        <w:t xml:space="preserve">Vabariigi Valitsuse fiskaalpoliitika eesmärgiks on </w:t>
      </w:r>
      <w:r w:rsidRPr="00B7675B">
        <w:rPr>
          <w:lang w:val="et-EE"/>
        </w:rPr>
        <w:t xml:space="preserve">tagada </w:t>
      </w:r>
      <w:r w:rsidRPr="00B7675B">
        <w:rPr>
          <w:bCs/>
          <w:lang w:val="et-EE"/>
        </w:rPr>
        <w:t>jätkusuutlik ja makromajandust tasakaalustav eelarvepoliitika</w:t>
      </w:r>
      <w:r w:rsidRPr="00B7675B">
        <w:rPr>
          <w:lang w:val="et-EE"/>
        </w:rPr>
        <w:t xml:space="preserve">. Sihiks on, et eelarvepoliitilised otsused toetavad maksimaalselt makromajanduslikku stabiilsust, ohjavad majanduse tasakaalustatud arengut ohustavaid riske ning parandavad majanduse kasvupotentsiaali ja tööhõivet. Tulevaste võimalike majanduslangustega toimetulekuks peab olema tagatud piisavate </w:t>
      </w:r>
      <w:r w:rsidR="00BE455B" w:rsidRPr="00B7675B">
        <w:rPr>
          <w:lang w:val="et-EE"/>
        </w:rPr>
        <w:t xml:space="preserve">rahaliste </w:t>
      </w:r>
      <w:r w:rsidRPr="00B7675B">
        <w:rPr>
          <w:bCs/>
          <w:lang w:val="et-EE"/>
        </w:rPr>
        <w:t xml:space="preserve">reservide olemasolu ja paindlikkus eelarves </w:t>
      </w:r>
      <w:r w:rsidRPr="00B7675B">
        <w:rPr>
          <w:lang w:val="et-EE"/>
        </w:rPr>
        <w:t xml:space="preserve">tulude ja kulude struktuuri muutmiseks. </w:t>
      </w:r>
    </w:p>
    <w:p w:rsidR="00D72106" w:rsidRPr="00B7675B" w:rsidRDefault="00D72106" w:rsidP="00667A9D">
      <w:pPr>
        <w:pStyle w:val="Default"/>
        <w:spacing w:line="276" w:lineRule="auto"/>
        <w:jc w:val="both"/>
        <w:rPr>
          <w:lang w:val="et-EE"/>
        </w:rPr>
      </w:pPr>
    </w:p>
    <w:p w:rsidR="00D72106" w:rsidRPr="00A15A5B" w:rsidRDefault="00D72106" w:rsidP="00A15A5B">
      <w:pPr>
        <w:pStyle w:val="Default"/>
        <w:spacing w:line="276" w:lineRule="auto"/>
        <w:jc w:val="both"/>
        <w:rPr>
          <w:lang w:val="et-EE"/>
        </w:rPr>
      </w:pPr>
      <w:r w:rsidRPr="00B7675B">
        <w:rPr>
          <w:lang w:val="et-EE"/>
        </w:rPr>
        <w:t>Riigi eelarvestrateegia põhiseisukohad on järgmised:</w:t>
      </w:r>
    </w:p>
    <w:p w:rsidR="00924C20" w:rsidRPr="00B7675B" w:rsidRDefault="00924C20" w:rsidP="00667A9D">
      <w:pPr>
        <w:pStyle w:val="Loendilik"/>
        <w:numPr>
          <w:ilvl w:val="0"/>
          <w:numId w:val="5"/>
        </w:numPr>
        <w:rPr>
          <w:szCs w:val="24"/>
        </w:rPr>
      </w:pPr>
      <w:r w:rsidRPr="00B7675B">
        <w:rPr>
          <w:szCs w:val="24"/>
        </w:rPr>
        <w:t xml:space="preserve">Eesti majandus kasvab: </w:t>
      </w:r>
      <w:r w:rsidR="00CC1731" w:rsidRPr="00B7675B">
        <w:rPr>
          <w:szCs w:val="24"/>
        </w:rPr>
        <w:t>sisemajanduse koguprodukt</w:t>
      </w:r>
      <w:r w:rsidRPr="00B7675B">
        <w:rPr>
          <w:szCs w:val="24"/>
        </w:rPr>
        <w:t xml:space="preserve"> (2017 – 22,1 miljardit, kuni 29,0 miljardit 2022</w:t>
      </w:r>
      <w:r w:rsidR="00E23CAB" w:rsidRPr="00B7675B">
        <w:rPr>
          <w:szCs w:val="24"/>
        </w:rPr>
        <w:t>.</w:t>
      </w:r>
      <w:r w:rsidRPr="00B7675B">
        <w:rPr>
          <w:szCs w:val="24"/>
        </w:rPr>
        <w:t xml:space="preserve"> aastaks);</w:t>
      </w:r>
    </w:p>
    <w:p w:rsidR="00924C20" w:rsidRPr="00B7675B" w:rsidRDefault="00924C20" w:rsidP="00667A9D">
      <w:pPr>
        <w:pStyle w:val="Loendilik"/>
        <w:numPr>
          <w:ilvl w:val="0"/>
          <w:numId w:val="5"/>
        </w:numPr>
        <w:rPr>
          <w:szCs w:val="24"/>
        </w:rPr>
      </w:pPr>
      <w:r w:rsidRPr="00B7675B">
        <w:rPr>
          <w:szCs w:val="24"/>
        </w:rPr>
        <w:t>Eesti rahvaarv kasvab: summaarne sündimuskordaja kasvab 2019</w:t>
      </w:r>
      <w:r w:rsidR="00E23CAB" w:rsidRPr="00B7675B">
        <w:rPr>
          <w:szCs w:val="24"/>
        </w:rPr>
        <w:t>.</w:t>
      </w:r>
      <w:r w:rsidRPr="00B7675B">
        <w:rPr>
          <w:szCs w:val="24"/>
        </w:rPr>
        <w:t xml:space="preserve"> aastaks 1,67-ni</w:t>
      </w:r>
      <w:r w:rsidR="00360D8E" w:rsidRPr="00B7675B">
        <w:rPr>
          <w:szCs w:val="24"/>
        </w:rPr>
        <w:t>;</w:t>
      </w:r>
    </w:p>
    <w:p w:rsidR="00924C20" w:rsidRPr="00B7675B" w:rsidRDefault="00924C20" w:rsidP="00667A9D">
      <w:pPr>
        <w:pStyle w:val="Loendilik"/>
        <w:numPr>
          <w:ilvl w:val="0"/>
          <w:numId w:val="5"/>
        </w:numPr>
        <w:rPr>
          <w:szCs w:val="24"/>
        </w:rPr>
      </w:pPr>
      <w:r w:rsidRPr="00B7675B">
        <w:rPr>
          <w:szCs w:val="24"/>
        </w:rPr>
        <w:t>Eesti julgeolek tugevneb: panustame igal aastal 2% SKP-st ja suurendame investeeringuid kaitsesse;</w:t>
      </w:r>
    </w:p>
    <w:p w:rsidR="00924C20" w:rsidRPr="00B7675B" w:rsidRDefault="00924C20" w:rsidP="00667A9D">
      <w:pPr>
        <w:pStyle w:val="Loendilik"/>
        <w:numPr>
          <w:ilvl w:val="0"/>
          <w:numId w:val="5"/>
        </w:numPr>
        <w:rPr>
          <w:szCs w:val="24"/>
        </w:rPr>
      </w:pPr>
      <w:r w:rsidRPr="00B7675B">
        <w:rPr>
          <w:szCs w:val="24"/>
        </w:rPr>
        <w:t>Eesti ühiskonna sidusus tõuseb: suureneb sissetulek, tõuseb maksuvaba tulu, suureneb pension, tõuseb ostujõud;</w:t>
      </w:r>
    </w:p>
    <w:p w:rsidR="00924C20" w:rsidRPr="00B7675B" w:rsidRDefault="00924C20" w:rsidP="00667A9D">
      <w:pPr>
        <w:pStyle w:val="Loendilik"/>
        <w:numPr>
          <w:ilvl w:val="0"/>
          <w:numId w:val="5"/>
        </w:numPr>
        <w:rPr>
          <w:szCs w:val="24"/>
        </w:rPr>
      </w:pPr>
      <w:r w:rsidRPr="00B7675B">
        <w:rPr>
          <w:szCs w:val="24"/>
        </w:rPr>
        <w:t>Majandus kasvab keskmiselt 2,8% aastas;</w:t>
      </w:r>
    </w:p>
    <w:p w:rsidR="00924C20" w:rsidRPr="00B7675B" w:rsidRDefault="00924C20" w:rsidP="00667A9D">
      <w:pPr>
        <w:pStyle w:val="Loendilik"/>
        <w:numPr>
          <w:ilvl w:val="0"/>
          <w:numId w:val="5"/>
        </w:numPr>
        <w:rPr>
          <w:szCs w:val="24"/>
        </w:rPr>
      </w:pPr>
      <w:r w:rsidRPr="00B7675B">
        <w:rPr>
          <w:szCs w:val="24"/>
        </w:rPr>
        <w:t>Riigi maksutulu kasvab keskmiselt 6,5% aastas;</w:t>
      </w:r>
    </w:p>
    <w:p w:rsidR="00924C20" w:rsidRPr="00B7675B" w:rsidRDefault="00924C20" w:rsidP="00667A9D">
      <w:pPr>
        <w:pStyle w:val="Loendilik"/>
        <w:numPr>
          <w:ilvl w:val="0"/>
          <w:numId w:val="5"/>
        </w:numPr>
        <w:rPr>
          <w:szCs w:val="24"/>
        </w:rPr>
      </w:pPr>
      <w:r w:rsidRPr="00B7675B">
        <w:rPr>
          <w:szCs w:val="24"/>
        </w:rPr>
        <w:t>Maksud soodustavad majanduskasvu – teenimise asemel maksustame rohkem tarbimist;</w:t>
      </w:r>
    </w:p>
    <w:p w:rsidR="00924C20" w:rsidRPr="00B7675B" w:rsidRDefault="00924C20" w:rsidP="00667A9D">
      <w:pPr>
        <w:pStyle w:val="Loendilik"/>
        <w:numPr>
          <w:ilvl w:val="0"/>
          <w:numId w:val="5"/>
        </w:numPr>
        <w:rPr>
          <w:szCs w:val="24"/>
        </w:rPr>
      </w:pPr>
      <w:r w:rsidRPr="00B7675B">
        <w:rPr>
          <w:szCs w:val="24"/>
        </w:rPr>
        <w:t>Investeeringud kasvavad – rahastamine toimub üha rohkem varasema ülejäägi arvelt.</w:t>
      </w:r>
    </w:p>
    <w:p w:rsidR="00924C20" w:rsidRPr="00B7675B" w:rsidRDefault="00D72106" w:rsidP="00667A9D">
      <w:pPr>
        <w:pStyle w:val="Default"/>
        <w:spacing w:line="276" w:lineRule="auto"/>
        <w:jc w:val="both"/>
        <w:rPr>
          <w:lang w:val="et-EE"/>
        </w:rPr>
      </w:pPr>
      <w:r w:rsidRPr="00B7675B">
        <w:rPr>
          <w:bCs/>
          <w:lang w:val="et-EE"/>
        </w:rPr>
        <w:t xml:space="preserve">Nimetatud </w:t>
      </w:r>
      <w:r w:rsidR="00360D8E" w:rsidRPr="00B7675B">
        <w:rPr>
          <w:bCs/>
          <w:lang w:val="et-EE"/>
        </w:rPr>
        <w:t>põhiseisukohtadele toetuvad e</w:t>
      </w:r>
      <w:r w:rsidR="00924C20" w:rsidRPr="00B7675B">
        <w:rPr>
          <w:bCs/>
          <w:lang w:val="et-EE"/>
        </w:rPr>
        <w:t xml:space="preserve">elarvepoliitilised otsused </w:t>
      </w:r>
      <w:r w:rsidR="00924C20" w:rsidRPr="00B7675B">
        <w:rPr>
          <w:lang w:val="et-EE"/>
        </w:rPr>
        <w:t>langetatakse eelarvestrateegia</w:t>
      </w:r>
      <w:r w:rsidRPr="00B7675B">
        <w:rPr>
          <w:lang w:val="et-EE"/>
        </w:rPr>
        <w:t xml:space="preserve"> </w:t>
      </w:r>
      <w:r w:rsidR="00924C20" w:rsidRPr="00B7675B">
        <w:rPr>
          <w:lang w:val="et-EE"/>
        </w:rPr>
        <w:t xml:space="preserve">protsessis, </w:t>
      </w:r>
      <w:r w:rsidR="00BE455B" w:rsidRPr="00B7675B">
        <w:rPr>
          <w:lang w:val="et-EE"/>
        </w:rPr>
        <w:t xml:space="preserve">pidades silmas, et </w:t>
      </w:r>
      <w:r w:rsidR="00924C20" w:rsidRPr="00B7675B">
        <w:rPr>
          <w:lang w:val="et-EE"/>
        </w:rPr>
        <w:t xml:space="preserve">otsused on </w:t>
      </w:r>
      <w:r w:rsidR="00924C20" w:rsidRPr="00B7675B">
        <w:rPr>
          <w:bCs/>
          <w:lang w:val="et-EE"/>
        </w:rPr>
        <w:t xml:space="preserve">jätkusuutlikud </w:t>
      </w:r>
      <w:r w:rsidR="00924C20" w:rsidRPr="00B7675B">
        <w:rPr>
          <w:lang w:val="et-EE"/>
        </w:rPr>
        <w:t xml:space="preserve">(arvestatakse otsuste pikaajalist mõju), </w:t>
      </w:r>
      <w:r w:rsidR="00924C20" w:rsidRPr="00B7675B">
        <w:rPr>
          <w:lang w:val="et-EE"/>
        </w:rPr>
        <w:lastRenderedPageBreak/>
        <w:t>maksimaalselt valdkonnapoliitikaid ja muude valitsussektori tasandite tegevus</w:t>
      </w:r>
      <w:r w:rsidR="00BE455B" w:rsidRPr="00B7675B">
        <w:rPr>
          <w:lang w:val="et-EE"/>
        </w:rPr>
        <w:t>i</w:t>
      </w:r>
      <w:r w:rsidR="00924C20" w:rsidRPr="00B7675B">
        <w:rPr>
          <w:lang w:val="et-EE"/>
        </w:rPr>
        <w:t xml:space="preserve"> arvestavad ning kõiki </w:t>
      </w:r>
      <w:r w:rsidR="00924C20" w:rsidRPr="00B7675B">
        <w:rPr>
          <w:bCs/>
          <w:lang w:val="et-EE"/>
        </w:rPr>
        <w:t xml:space="preserve">rahastamisallikaid </w:t>
      </w:r>
      <w:r w:rsidR="00924C20" w:rsidRPr="00B7675B">
        <w:rPr>
          <w:lang w:val="et-EE"/>
        </w:rPr>
        <w:t xml:space="preserve">(lisaks maksutuludele ka EL toetuste, kasvuhoonegaaside lubatud heitkoguse kvoodi müügitulu jms) </w:t>
      </w:r>
      <w:r w:rsidR="00924C20" w:rsidRPr="00B7675B">
        <w:rPr>
          <w:bCs/>
          <w:lang w:val="et-EE"/>
        </w:rPr>
        <w:t>ühtselt käsitlevad</w:t>
      </w:r>
      <w:r w:rsidR="00924C20" w:rsidRPr="00B7675B">
        <w:rPr>
          <w:lang w:val="et-EE"/>
        </w:rPr>
        <w:t>. Kiirema majanduskasvu aegadel hoidutakse investeeringute liigsest kasvatamisest ning eelistatakse finantseerimisallikana väli</w:t>
      </w:r>
      <w:r w:rsidR="00360D8E" w:rsidRPr="00B7675B">
        <w:rPr>
          <w:lang w:val="et-EE"/>
        </w:rPr>
        <w:t>s</w:t>
      </w:r>
      <w:r w:rsidR="00924C20" w:rsidRPr="00B7675B">
        <w:rPr>
          <w:lang w:val="et-EE"/>
        </w:rPr>
        <w:t>toetuste kasutamist. Prioriteetseteks investeeringu</w:t>
      </w:r>
      <w:r w:rsidR="00BE455B" w:rsidRPr="00B7675B">
        <w:rPr>
          <w:lang w:val="et-EE"/>
        </w:rPr>
        <w:t>teks seatakse need</w:t>
      </w:r>
      <w:r w:rsidR="00924C20" w:rsidRPr="00B7675B">
        <w:rPr>
          <w:lang w:val="et-EE"/>
        </w:rPr>
        <w:t xml:space="preserve">, mille tulemusel kasvab inimeste heaolu </w:t>
      </w:r>
      <w:r w:rsidR="00360D8E" w:rsidRPr="00B7675B">
        <w:rPr>
          <w:lang w:val="et-EE"/>
        </w:rPr>
        <w:t>ja</w:t>
      </w:r>
      <w:r w:rsidR="00924C20" w:rsidRPr="00B7675B">
        <w:rPr>
          <w:lang w:val="et-EE"/>
        </w:rPr>
        <w:t xml:space="preserve"> paraneb </w:t>
      </w:r>
      <w:r w:rsidR="00360D8E" w:rsidRPr="00B7675B">
        <w:rPr>
          <w:lang w:val="et-EE"/>
        </w:rPr>
        <w:t xml:space="preserve">riigi </w:t>
      </w:r>
      <w:r w:rsidR="00924C20" w:rsidRPr="00B7675B">
        <w:rPr>
          <w:lang w:val="et-EE"/>
        </w:rPr>
        <w:t xml:space="preserve">kaitsevõime. </w:t>
      </w:r>
    </w:p>
    <w:p w:rsidR="00924C20" w:rsidRPr="00B7675B" w:rsidRDefault="00924C20" w:rsidP="00667A9D">
      <w:pPr>
        <w:pStyle w:val="Default"/>
        <w:spacing w:line="276" w:lineRule="auto"/>
        <w:rPr>
          <w:lang w:val="et-EE"/>
        </w:rPr>
      </w:pPr>
    </w:p>
    <w:p w:rsidR="00924C20" w:rsidRPr="00B7675B" w:rsidRDefault="00924C20" w:rsidP="00667A9D">
      <w:pPr>
        <w:pStyle w:val="Default"/>
        <w:spacing w:line="276" w:lineRule="auto"/>
        <w:jc w:val="both"/>
        <w:rPr>
          <w:color w:val="auto"/>
          <w:lang w:val="et-EE"/>
        </w:rPr>
      </w:pPr>
      <w:r w:rsidRPr="00B7675B">
        <w:rPr>
          <w:color w:val="auto"/>
          <w:lang w:val="et-EE"/>
        </w:rPr>
        <w:t>Riigi maksupoliitika on tervik ja suunatud sellele, et majandus kasvaks ning selleks muudetakse maksustruktuuri majanduskasvu</w:t>
      </w:r>
      <w:r w:rsidR="00BE455B" w:rsidRPr="00B7675B">
        <w:rPr>
          <w:color w:val="auto"/>
          <w:lang w:val="et-EE"/>
        </w:rPr>
        <w:t xml:space="preserve"> </w:t>
      </w:r>
      <w:r w:rsidRPr="00B7675B">
        <w:rPr>
          <w:color w:val="auto"/>
          <w:lang w:val="et-EE"/>
        </w:rPr>
        <w:t xml:space="preserve">sõbralikumaks, vähendades makse palgalt ja kasvatades makse tarbimisele nii, et see toetaks ka keskkonnahoidu ja rahvatervise paranemist. Maksukoormus stabiliseerub järgmistel aastatel 34% taseme lähedal. </w:t>
      </w:r>
    </w:p>
    <w:p w:rsidR="00924C20" w:rsidRPr="00B7675B" w:rsidRDefault="00924C20" w:rsidP="00667A9D">
      <w:pPr>
        <w:pStyle w:val="Default"/>
        <w:spacing w:line="276" w:lineRule="auto"/>
        <w:jc w:val="both"/>
        <w:rPr>
          <w:color w:val="auto"/>
          <w:lang w:val="et-EE"/>
        </w:rPr>
      </w:pPr>
    </w:p>
    <w:p w:rsidR="00924C20" w:rsidRPr="00B7675B" w:rsidRDefault="00924C20" w:rsidP="00667A9D">
      <w:pPr>
        <w:pStyle w:val="Default"/>
        <w:spacing w:line="276" w:lineRule="auto"/>
        <w:jc w:val="both"/>
        <w:rPr>
          <w:color w:val="auto"/>
          <w:lang w:val="et-EE"/>
        </w:rPr>
      </w:pPr>
      <w:r w:rsidRPr="00B7675B">
        <w:rPr>
          <w:color w:val="auto"/>
          <w:lang w:val="et-EE"/>
        </w:rPr>
        <w:t xml:space="preserve">Eesti riigi </w:t>
      </w:r>
      <w:r w:rsidR="00BE455B" w:rsidRPr="00B7675B">
        <w:rPr>
          <w:color w:val="auto"/>
          <w:lang w:val="et-EE"/>
        </w:rPr>
        <w:t xml:space="preserve">rahanduses soovitakse </w:t>
      </w:r>
      <w:r w:rsidRPr="00B7675B">
        <w:rPr>
          <w:color w:val="auto"/>
          <w:lang w:val="et-EE"/>
        </w:rPr>
        <w:t xml:space="preserve">liikuda rohkem tulemusinformatsiooni kasutava eelarvestamise suunas. Ressursside ja tulemuste omavaheliseks seostamiseks </w:t>
      </w:r>
      <w:r w:rsidR="00BE455B" w:rsidRPr="00B7675B">
        <w:rPr>
          <w:color w:val="auto"/>
          <w:lang w:val="et-EE"/>
        </w:rPr>
        <w:t>ning</w:t>
      </w:r>
      <w:r w:rsidRPr="00B7675B">
        <w:rPr>
          <w:color w:val="auto"/>
          <w:lang w:val="et-EE"/>
        </w:rPr>
        <w:t xml:space="preserve"> eelarve läbipaistvamaks muutmiseks minnakse üle tegevuspõhisele eelarvele, mille eelduseks oli üleminek tekkepõhisele riigieelarvele 2017. aastast. Aastaks 2020 on kõik valitsemisalad üle läinud tegevuspõhisele riigieelarvele. </w:t>
      </w:r>
    </w:p>
    <w:p w:rsidR="00924C20" w:rsidRPr="00B7675B" w:rsidRDefault="00924C20" w:rsidP="00924C20">
      <w:pPr>
        <w:pStyle w:val="Default"/>
        <w:rPr>
          <w:color w:val="auto"/>
          <w:lang w:val="et-EE"/>
        </w:rPr>
      </w:pPr>
    </w:p>
    <w:p w:rsidR="00924C20" w:rsidRPr="00B7675B" w:rsidRDefault="00B7299D" w:rsidP="00360D8E">
      <w:pPr>
        <w:pStyle w:val="Pealkiri2"/>
        <w:rPr>
          <w:rFonts w:ascii="Times New Roman" w:hAnsi="Times New Roman" w:cs="Times New Roman"/>
          <w:color w:val="auto"/>
          <w:sz w:val="24"/>
          <w:szCs w:val="24"/>
          <w:lang w:val="et-EE"/>
        </w:rPr>
      </w:pPr>
      <w:bookmarkStart w:id="5" w:name="_Toc521395291"/>
      <w:r w:rsidRPr="00B7675B">
        <w:rPr>
          <w:rFonts w:ascii="Times New Roman" w:hAnsi="Times New Roman" w:cs="Times New Roman"/>
          <w:color w:val="auto"/>
          <w:sz w:val="24"/>
          <w:szCs w:val="24"/>
          <w:lang w:val="et-EE"/>
        </w:rPr>
        <w:t>1</w:t>
      </w:r>
      <w:r w:rsidR="005D7C45" w:rsidRPr="00B7675B">
        <w:rPr>
          <w:rFonts w:ascii="Times New Roman" w:hAnsi="Times New Roman" w:cs="Times New Roman"/>
          <w:color w:val="auto"/>
          <w:sz w:val="24"/>
          <w:szCs w:val="24"/>
          <w:lang w:val="et-EE"/>
        </w:rPr>
        <w:t>.2</w:t>
      </w:r>
      <w:r w:rsidR="00D06485">
        <w:rPr>
          <w:rFonts w:ascii="Times New Roman" w:hAnsi="Times New Roman" w:cs="Times New Roman"/>
          <w:color w:val="auto"/>
          <w:sz w:val="24"/>
          <w:szCs w:val="24"/>
          <w:lang w:val="et-EE"/>
        </w:rPr>
        <w:t>.</w:t>
      </w:r>
      <w:r w:rsidR="00360D8E" w:rsidRPr="00B7675B">
        <w:rPr>
          <w:rFonts w:ascii="Times New Roman" w:hAnsi="Times New Roman" w:cs="Times New Roman"/>
          <w:color w:val="auto"/>
          <w:sz w:val="24"/>
          <w:szCs w:val="24"/>
          <w:lang w:val="et-EE"/>
        </w:rPr>
        <w:t xml:space="preserve"> </w:t>
      </w:r>
      <w:r w:rsidR="00924C20" w:rsidRPr="00B7675B">
        <w:rPr>
          <w:rFonts w:ascii="Times New Roman" w:hAnsi="Times New Roman" w:cs="Times New Roman"/>
          <w:color w:val="auto"/>
          <w:sz w:val="24"/>
          <w:szCs w:val="24"/>
          <w:lang w:val="et-EE"/>
        </w:rPr>
        <w:t xml:space="preserve">Valitsussektori eelarvepositsiooni eesmärk ning võrdlus </w:t>
      </w:r>
      <w:r w:rsidR="00DB61BC" w:rsidRPr="00B7675B">
        <w:rPr>
          <w:rFonts w:ascii="Times New Roman" w:hAnsi="Times New Roman" w:cs="Times New Roman"/>
          <w:color w:val="auto"/>
          <w:sz w:val="24"/>
          <w:szCs w:val="24"/>
          <w:lang w:val="et-EE"/>
        </w:rPr>
        <w:t xml:space="preserve">eelmise perioodi </w:t>
      </w:r>
      <w:r w:rsidR="00924C20" w:rsidRPr="00B7675B">
        <w:rPr>
          <w:rFonts w:ascii="Times New Roman" w:hAnsi="Times New Roman" w:cs="Times New Roman"/>
          <w:color w:val="auto"/>
          <w:sz w:val="24"/>
          <w:szCs w:val="24"/>
          <w:lang w:val="et-EE"/>
        </w:rPr>
        <w:t>riigi eelarvestrateegiaga</w:t>
      </w:r>
      <w:bookmarkEnd w:id="5"/>
      <w:r w:rsidR="00924C20" w:rsidRPr="00B7675B">
        <w:rPr>
          <w:rFonts w:ascii="Times New Roman" w:hAnsi="Times New Roman" w:cs="Times New Roman"/>
          <w:color w:val="auto"/>
          <w:sz w:val="24"/>
          <w:szCs w:val="24"/>
          <w:lang w:val="et-EE"/>
        </w:rPr>
        <w:t xml:space="preserve"> </w:t>
      </w:r>
    </w:p>
    <w:p w:rsidR="00360D8E" w:rsidRPr="00B7675B" w:rsidRDefault="00360D8E" w:rsidP="00360D8E">
      <w:pPr>
        <w:rPr>
          <w:lang w:val="et-EE"/>
        </w:rPr>
      </w:pPr>
    </w:p>
    <w:p w:rsidR="00924C20" w:rsidRPr="00B7675B" w:rsidRDefault="00360D8E" w:rsidP="00667A9D">
      <w:pPr>
        <w:pStyle w:val="Default"/>
        <w:spacing w:line="276" w:lineRule="auto"/>
        <w:jc w:val="both"/>
        <w:rPr>
          <w:bCs/>
          <w:color w:val="auto"/>
          <w:lang w:val="et-EE"/>
        </w:rPr>
      </w:pPr>
      <w:r w:rsidRPr="00B7675B">
        <w:rPr>
          <w:color w:val="auto"/>
          <w:lang w:val="et-EE"/>
        </w:rPr>
        <w:t xml:space="preserve">Eesti Vabariigi </w:t>
      </w:r>
      <w:r w:rsidR="00924C20" w:rsidRPr="00B7675B">
        <w:rPr>
          <w:color w:val="auto"/>
          <w:lang w:val="et-EE"/>
        </w:rPr>
        <w:t xml:space="preserve">Valitsus on otsustanud soodsa majanduskonjuktuuri tingimustes </w:t>
      </w:r>
      <w:r w:rsidR="00924C20" w:rsidRPr="00B7675B">
        <w:rPr>
          <w:bCs/>
          <w:color w:val="auto"/>
          <w:lang w:val="et-EE"/>
        </w:rPr>
        <w:t xml:space="preserve">võtta eesmärgiks struktuurne eelarvetasakaal </w:t>
      </w:r>
      <w:r w:rsidR="00924C20" w:rsidRPr="00B7675B">
        <w:rPr>
          <w:color w:val="auto"/>
          <w:lang w:val="et-EE"/>
        </w:rPr>
        <w:t xml:space="preserve">aastatel 2019-2021 ning 0,1% suurune ülejääk aastal 2022. Eesmärkide saavutamisel püsib valitsussektori nominaalne eelarvepositsioon ülejäägis kõigil </w:t>
      </w:r>
      <w:r w:rsidR="00BE455B" w:rsidRPr="00B7675B">
        <w:rPr>
          <w:color w:val="auto"/>
          <w:lang w:val="et-EE"/>
        </w:rPr>
        <w:t xml:space="preserve">prognoositud </w:t>
      </w:r>
      <w:r w:rsidR="00924C20" w:rsidRPr="00B7675B">
        <w:rPr>
          <w:color w:val="auto"/>
          <w:lang w:val="et-EE"/>
        </w:rPr>
        <w:t xml:space="preserve">aastatel, mis loob eeldused asuda kasvatama reserve. </w:t>
      </w:r>
      <w:r w:rsidR="00924C20" w:rsidRPr="00B7675B">
        <w:rPr>
          <w:bCs/>
          <w:color w:val="auto"/>
          <w:lang w:val="et-EE"/>
        </w:rPr>
        <w:t xml:space="preserve">Eelarveaasta kestel hoidutakse positiivsete lisaeelarvete koostamisest, võimaliku maksutulu ülelaekumise arvel ei kasvatata jooksvaid kulusid. </w:t>
      </w:r>
    </w:p>
    <w:p w:rsidR="00924C20" w:rsidRPr="00360D8E" w:rsidRDefault="00924C20" w:rsidP="00924C20">
      <w:pPr>
        <w:pStyle w:val="Default"/>
        <w:jc w:val="both"/>
        <w:rPr>
          <w:rFonts w:ascii="Trebuchet MS" w:hAnsi="Trebuchet MS"/>
          <w:b/>
          <w:bCs/>
          <w:color w:val="auto"/>
          <w:sz w:val="22"/>
          <w:szCs w:val="22"/>
          <w:lang w:val="et-EE"/>
        </w:rPr>
      </w:pPr>
    </w:p>
    <w:tbl>
      <w:tblPr>
        <w:tblW w:w="8980" w:type="dxa"/>
        <w:tblCellMar>
          <w:left w:w="70" w:type="dxa"/>
          <w:right w:w="70" w:type="dxa"/>
        </w:tblCellMar>
        <w:tblLook w:val="04A0" w:firstRow="1" w:lastRow="0" w:firstColumn="1" w:lastColumn="0" w:noHBand="0" w:noVBand="1"/>
      </w:tblPr>
      <w:tblGrid>
        <w:gridCol w:w="3534"/>
        <w:gridCol w:w="856"/>
        <w:gridCol w:w="900"/>
        <w:gridCol w:w="990"/>
        <w:gridCol w:w="900"/>
        <w:gridCol w:w="838"/>
        <w:gridCol w:w="962"/>
      </w:tblGrid>
      <w:tr w:rsidR="00924C20" w:rsidRPr="00710EF6" w:rsidTr="00341EE2">
        <w:trPr>
          <w:trHeight w:val="330"/>
        </w:trPr>
        <w:tc>
          <w:tcPr>
            <w:tcW w:w="3534" w:type="dxa"/>
            <w:tcBorders>
              <w:top w:val="single" w:sz="8" w:space="0" w:color="auto"/>
              <w:left w:val="single" w:sz="8" w:space="0" w:color="auto"/>
              <w:bottom w:val="single" w:sz="8" w:space="0" w:color="auto"/>
              <w:right w:val="single" w:sz="4" w:space="0" w:color="auto"/>
            </w:tcBorders>
            <w:shd w:val="clear" w:color="auto" w:fill="D6E3BC" w:themeFill="accent3" w:themeFillTint="66"/>
            <w:noWrap/>
            <w:vAlign w:val="bottom"/>
            <w:hideMark/>
          </w:tcPr>
          <w:p w:rsidR="00924C20" w:rsidRPr="00710EF6" w:rsidRDefault="00360D8E" w:rsidP="00CC1731">
            <w:pPr>
              <w:jc w:val="right"/>
              <w:rPr>
                <w:b/>
                <w:sz w:val="20"/>
                <w:szCs w:val="20"/>
                <w:lang w:val="et-EE" w:eastAsia="et-EE"/>
              </w:rPr>
            </w:pPr>
            <w:r w:rsidRPr="00710EF6">
              <w:rPr>
                <w:b/>
                <w:sz w:val="20"/>
                <w:szCs w:val="20"/>
                <w:lang w:val="et-EE" w:eastAsia="et-EE"/>
              </w:rPr>
              <w:t>N</w:t>
            </w:r>
            <w:r w:rsidR="00924C20" w:rsidRPr="00710EF6">
              <w:rPr>
                <w:b/>
                <w:sz w:val="20"/>
                <w:szCs w:val="20"/>
                <w:lang w:val="et-EE" w:eastAsia="et-EE"/>
              </w:rPr>
              <w:t>äitaja</w:t>
            </w:r>
          </w:p>
        </w:tc>
        <w:tc>
          <w:tcPr>
            <w:tcW w:w="856" w:type="dxa"/>
            <w:tcBorders>
              <w:top w:val="single" w:sz="8" w:space="0" w:color="auto"/>
              <w:left w:val="nil"/>
              <w:bottom w:val="single" w:sz="8" w:space="0" w:color="auto"/>
              <w:right w:val="single" w:sz="4" w:space="0" w:color="auto"/>
            </w:tcBorders>
            <w:shd w:val="clear" w:color="auto" w:fill="D6E3BC" w:themeFill="accent3" w:themeFillTint="66"/>
            <w:noWrap/>
            <w:vAlign w:val="bottom"/>
            <w:hideMark/>
          </w:tcPr>
          <w:p w:rsidR="00924C20" w:rsidRPr="00710EF6" w:rsidRDefault="00924C20" w:rsidP="00CC1731">
            <w:pPr>
              <w:jc w:val="right"/>
              <w:rPr>
                <w:b/>
                <w:sz w:val="20"/>
                <w:szCs w:val="20"/>
                <w:lang w:val="et-EE" w:eastAsia="et-EE"/>
              </w:rPr>
            </w:pPr>
            <w:r w:rsidRPr="00710EF6">
              <w:rPr>
                <w:b/>
                <w:sz w:val="20"/>
                <w:szCs w:val="20"/>
                <w:lang w:val="et-EE" w:eastAsia="et-EE"/>
              </w:rPr>
              <w:t>2017</w:t>
            </w:r>
          </w:p>
        </w:tc>
        <w:tc>
          <w:tcPr>
            <w:tcW w:w="900" w:type="dxa"/>
            <w:tcBorders>
              <w:top w:val="single" w:sz="8" w:space="0" w:color="auto"/>
              <w:left w:val="nil"/>
              <w:bottom w:val="single" w:sz="8" w:space="0" w:color="auto"/>
              <w:right w:val="single" w:sz="4" w:space="0" w:color="auto"/>
            </w:tcBorders>
            <w:shd w:val="clear" w:color="auto" w:fill="D6E3BC" w:themeFill="accent3" w:themeFillTint="66"/>
            <w:noWrap/>
            <w:vAlign w:val="bottom"/>
            <w:hideMark/>
          </w:tcPr>
          <w:p w:rsidR="00924C20" w:rsidRPr="00710EF6" w:rsidRDefault="00924C20" w:rsidP="00CC1731">
            <w:pPr>
              <w:jc w:val="right"/>
              <w:rPr>
                <w:b/>
                <w:sz w:val="20"/>
                <w:szCs w:val="20"/>
                <w:lang w:val="et-EE" w:eastAsia="et-EE"/>
              </w:rPr>
            </w:pPr>
            <w:r w:rsidRPr="00710EF6">
              <w:rPr>
                <w:b/>
                <w:sz w:val="20"/>
                <w:szCs w:val="20"/>
                <w:lang w:val="et-EE" w:eastAsia="et-EE"/>
              </w:rPr>
              <w:t>2018</w:t>
            </w:r>
          </w:p>
        </w:tc>
        <w:tc>
          <w:tcPr>
            <w:tcW w:w="990" w:type="dxa"/>
            <w:tcBorders>
              <w:top w:val="single" w:sz="8" w:space="0" w:color="auto"/>
              <w:left w:val="nil"/>
              <w:bottom w:val="single" w:sz="8" w:space="0" w:color="auto"/>
              <w:right w:val="single" w:sz="4" w:space="0" w:color="auto"/>
            </w:tcBorders>
            <w:shd w:val="clear" w:color="auto" w:fill="D6E3BC" w:themeFill="accent3" w:themeFillTint="66"/>
            <w:noWrap/>
            <w:vAlign w:val="bottom"/>
            <w:hideMark/>
          </w:tcPr>
          <w:p w:rsidR="00924C20" w:rsidRPr="00710EF6" w:rsidRDefault="00924C20" w:rsidP="00CC1731">
            <w:pPr>
              <w:jc w:val="right"/>
              <w:rPr>
                <w:b/>
                <w:sz w:val="20"/>
                <w:szCs w:val="20"/>
                <w:lang w:val="et-EE" w:eastAsia="et-EE"/>
              </w:rPr>
            </w:pPr>
            <w:r w:rsidRPr="00710EF6">
              <w:rPr>
                <w:b/>
                <w:sz w:val="20"/>
                <w:szCs w:val="20"/>
                <w:lang w:val="et-EE" w:eastAsia="et-EE"/>
              </w:rPr>
              <w:t>2019</w:t>
            </w:r>
          </w:p>
        </w:tc>
        <w:tc>
          <w:tcPr>
            <w:tcW w:w="900" w:type="dxa"/>
            <w:tcBorders>
              <w:top w:val="single" w:sz="8" w:space="0" w:color="auto"/>
              <w:left w:val="nil"/>
              <w:bottom w:val="single" w:sz="8" w:space="0" w:color="auto"/>
              <w:right w:val="single" w:sz="4" w:space="0" w:color="auto"/>
            </w:tcBorders>
            <w:shd w:val="clear" w:color="auto" w:fill="D6E3BC" w:themeFill="accent3" w:themeFillTint="66"/>
            <w:noWrap/>
            <w:vAlign w:val="bottom"/>
            <w:hideMark/>
          </w:tcPr>
          <w:p w:rsidR="00924C20" w:rsidRPr="00710EF6" w:rsidRDefault="00924C20" w:rsidP="00CC1731">
            <w:pPr>
              <w:jc w:val="right"/>
              <w:rPr>
                <w:b/>
                <w:sz w:val="20"/>
                <w:szCs w:val="20"/>
                <w:lang w:val="et-EE" w:eastAsia="et-EE"/>
              </w:rPr>
            </w:pPr>
            <w:r w:rsidRPr="00710EF6">
              <w:rPr>
                <w:b/>
                <w:sz w:val="20"/>
                <w:szCs w:val="20"/>
                <w:lang w:val="et-EE" w:eastAsia="et-EE"/>
              </w:rPr>
              <w:t>2020</w:t>
            </w:r>
          </w:p>
        </w:tc>
        <w:tc>
          <w:tcPr>
            <w:tcW w:w="838" w:type="dxa"/>
            <w:tcBorders>
              <w:top w:val="single" w:sz="8" w:space="0" w:color="auto"/>
              <w:left w:val="nil"/>
              <w:bottom w:val="single" w:sz="8" w:space="0" w:color="auto"/>
              <w:right w:val="single" w:sz="4" w:space="0" w:color="auto"/>
            </w:tcBorders>
            <w:shd w:val="clear" w:color="auto" w:fill="D6E3BC" w:themeFill="accent3" w:themeFillTint="66"/>
            <w:noWrap/>
            <w:vAlign w:val="bottom"/>
            <w:hideMark/>
          </w:tcPr>
          <w:p w:rsidR="00924C20" w:rsidRPr="00710EF6" w:rsidRDefault="00924C20" w:rsidP="00CC1731">
            <w:pPr>
              <w:jc w:val="right"/>
              <w:rPr>
                <w:b/>
                <w:sz w:val="20"/>
                <w:szCs w:val="20"/>
                <w:lang w:val="et-EE" w:eastAsia="et-EE"/>
              </w:rPr>
            </w:pPr>
            <w:r w:rsidRPr="00710EF6">
              <w:rPr>
                <w:b/>
                <w:sz w:val="20"/>
                <w:szCs w:val="20"/>
                <w:lang w:val="et-EE" w:eastAsia="et-EE"/>
              </w:rPr>
              <w:t>2021</w:t>
            </w:r>
          </w:p>
        </w:tc>
        <w:tc>
          <w:tcPr>
            <w:tcW w:w="962" w:type="dxa"/>
            <w:tcBorders>
              <w:top w:val="single" w:sz="8" w:space="0" w:color="auto"/>
              <w:left w:val="nil"/>
              <w:bottom w:val="single" w:sz="8" w:space="0" w:color="auto"/>
              <w:right w:val="single" w:sz="8" w:space="0" w:color="auto"/>
            </w:tcBorders>
            <w:shd w:val="clear" w:color="auto" w:fill="D6E3BC" w:themeFill="accent3" w:themeFillTint="66"/>
            <w:noWrap/>
            <w:vAlign w:val="bottom"/>
            <w:hideMark/>
          </w:tcPr>
          <w:p w:rsidR="00924C20" w:rsidRPr="00710EF6" w:rsidRDefault="00924C20" w:rsidP="00CC1731">
            <w:pPr>
              <w:jc w:val="right"/>
              <w:rPr>
                <w:b/>
                <w:sz w:val="20"/>
                <w:szCs w:val="20"/>
                <w:lang w:val="et-EE" w:eastAsia="et-EE"/>
              </w:rPr>
            </w:pPr>
            <w:r w:rsidRPr="00710EF6">
              <w:rPr>
                <w:b/>
                <w:sz w:val="20"/>
                <w:szCs w:val="20"/>
                <w:lang w:val="et-EE" w:eastAsia="et-EE"/>
              </w:rPr>
              <w:t>2022</w:t>
            </w:r>
          </w:p>
        </w:tc>
      </w:tr>
      <w:tr w:rsidR="00924C20" w:rsidRPr="00710EF6" w:rsidTr="00CC1731">
        <w:trPr>
          <w:trHeight w:val="315"/>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rsidR="00924C20" w:rsidRPr="00025237" w:rsidRDefault="00924C20" w:rsidP="00D72106">
            <w:pPr>
              <w:rPr>
                <w:sz w:val="20"/>
                <w:szCs w:val="20"/>
                <w:lang w:val="et-EE" w:eastAsia="et-EE"/>
              </w:rPr>
            </w:pPr>
            <w:r w:rsidRPr="00025237">
              <w:rPr>
                <w:sz w:val="20"/>
                <w:szCs w:val="20"/>
                <w:lang w:val="et-EE" w:eastAsia="et-EE"/>
              </w:rPr>
              <w:t xml:space="preserve">SKP </w:t>
            </w:r>
            <w:r w:rsidR="003B2D7A" w:rsidRPr="00025237">
              <w:rPr>
                <w:sz w:val="20"/>
                <w:szCs w:val="20"/>
                <w:lang w:val="et-EE" w:eastAsia="et-EE"/>
              </w:rPr>
              <w:t>(mld</w:t>
            </w:r>
            <w:r w:rsidRPr="00025237">
              <w:rPr>
                <w:sz w:val="20"/>
                <w:szCs w:val="20"/>
                <w:lang w:val="et-EE" w:eastAsia="et-EE"/>
              </w:rPr>
              <w:t xml:space="preserve"> eurot)</w:t>
            </w:r>
          </w:p>
        </w:tc>
        <w:tc>
          <w:tcPr>
            <w:tcW w:w="856"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22,1</w:t>
            </w:r>
          </w:p>
        </w:tc>
        <w:tc>
          <w:tcPr>
            <w:tcW w:w="90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23,5</w:t>
            </w:r>
          </w:p>
        </w:tc>
        <w:tc>
          <w:tcPr>
            <w:tcW w:w="99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24,8</w:t>
            </w:r>
          </w:p>
        </w:tc>
        <w:tc>
          <w:tcPr>
            <w:tcW w:w="90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26,2</w:t>
            </w:r>
          </w:p>
        </w:tc>
        <w:tc>
          <w:tcPr>
            <w:tcW w:w="838"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27,6</w:t>
            </w:r>
          </w:p>
        </w:tc>
        <w:tc>
          <w:tcPr>
            <w:tcW w:w="962" w:type="dxa"/>
            <w:tcBorders>
              <w:top w:val="nil"/>
              <w:left w:val="nil"/>
              <w:bottom w:val="single" w:sz="4" w:space="0" w:color="auto"/>
              <w:right w:val="single" w:sz="8"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29</w:t>
            </w:r>
          </w:p>
        </w:tc>
      </w:tr>
      <w:tr w:rsidR="00924C20" w:rsidRPr="00710EF6" w:rsidTr="00CC1731">
        <w:trPr>
          <w:trHeight w:val="315"/>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rsidR="00924C20" w:rsidRPr="00025237" w:rsidRDefault="00924C20" w:rsidP="00D72106">
            <w:pPr>
              <w:rPr>
                <w:sz w:val="20"/>
                <w:szCs w:val="20"/>
                <w:lang w:val="et-EE" w:eastAsia="et-EE"/>
              </w:rPr>
            </w:pPr>
            <w:r w:rsidRPr="00025237">
              <w:rPr>
                <w:sz w:val="20"/>
                <w:szCs w:val="20"/>
                <w:lang w:val="et-EE" w:eastAsia="et-EE"/>
              </w:rPr>
              <w:t>SKP reaalkasv %</w:t>
            </w:r>
          </w:p>
        </w:tc>
        <w:tc>
          <w:tcPr>
            <w:tcW w:w="856"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4,9</w:t>
            </w:r>
          </w:p>
        </w:tc>
        <w:tc>
          <w:tcPr>
            <w:tcW w:w="90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4</w:t>
            </w:r>
          </w:p>
        </w:tc>
        <w:tc>
          <w:tcPr>
            <w:tcW w:w="99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3,2</w:t>
            </w:r>
          </w:p>
        </w:tc>
        <w:tc>
          <w:tcPr>
            <w:tcW w:w="90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3</w:t>
            </w:r>
          </w:p>
        </w:tc>
        <w:tc>
          <w:tcPr>
            <w:tcW w:w="838"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2,9</w:t>
            </w:r>
          </w:p>
        </w:tc>
        <w:tc>
          <w:tcPr>
            <w:tcW w:w="962" w:type="dxa"/>
            <w:tcBorders>
              <w:top w:val="nil"/>
              <w:left w:val="nil"/>
              <w:bottom w:val="single" w:sz="4" w:space="0" w:color="auto"/>
              <w:right w:val="single" w:sz="8"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2,9</w:t>
            </w:r>
          </w:p>
        </w:tc>
      </w:tr>
      <w:tr w:rsidR="00924C20" w:rsidRPr="00710EF6" w:rsidTr="00CC1731">
        <w:trPr>
          <w:trHeight w:val="315"/>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rsidR="00924C20" w:rsidRPr="00025237" w:rsidRDefault="00CC1731" w:rsidP="00CC1731">
            <w:pPr>
              <w:rPr>
                <w:sz w:val="20"/>
                <w:szCs w:val="20"/>
                <w:lang w:val="et-EE" w:eastAsia="et-EE"/>
              </w:rPr>
            </w:pPr>
            <w:r w:rsidRPr="00025237">
              <w:rPr>
                <w:sz w:val="20"/>
                <w:szCs w:val="20"/>
                <w:lang w:val="et-EE" w:eastAsia="et-EE"/>
              </w:rPr>
              <w:t>S</w:t>
            </w:r>
            <w:r w:rsidR="00924C20" w:rsidRPr="00025237">
              <w:rPr>
                <w:sz w:val="20"/>
                <w:szCs w:val="20"/>
                <w:lang w:val="et-EE" w:eastAsia="et-EE"/>
              </w:rPr>
              <w:t>truktuurne eelarve positsioon %</w:t>
            </w:r>
          </w:p>
        </w:tc>
        <w:tc>
          <w:tcPr>
            <w:tcW w:w="856"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-0,3</w:t>
            </w:r>
          </w:p>
        </w:tc>
        <w:tc>
          <w:tcPr>
            <w:tcW w:w="90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-0,4</w:t>
            </w:r>
          </w:p>
        </w:tc>
        <w:tc>
          <w:tcPr>
            <w:tcW w:w="99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0</w:t>
            </w:r>
          </w:p>
        </w:tc>
        <w:tc>
          <w:tcPr>
            <w:tcW w:w="90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0</w:t>
            </w:r>
          </w:p>
        </w:tc>
        <w:tc>
          <w:tcPr>
            <w:tcW w:w="838"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0</w:t>
            </w:r>
          </w:p>
        </w:tc>
        <w:tc>
          <w:tcPr>
            <w:tcW w:w="962" w:type="dxa"/>
            <w:tcBorders>
              <w:top w:val="nil"/>
              <w:left w:val="nil"/>
              <w:bottom w:val="single" w:sz="4" w:space="0" w:color="auto"/>
              <w:right w:val="single" w:sz="8"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0,1</w:t>
            </w:r>
          </w:p>
        </w:tc>
      </w:tr>
      <w:tr w:rsidR="00924C20" w:rsidRPr="00710EF6" w:rsidTr="00CC1731">
        <w:trPr>
          <w:trHeight w:val="315"/>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rsidR="00924C20" w:rsidRPr="00025237" w:rsidRDefault="00CC1731" w:rsidP="00CC1731">
            <w:pPr>
              <w:rPr>
                <w:sz w:val="20"/>
                <w:szCs w:val="20"/>
                <w:lang w:val="et-EE" w:eastAsia="et-EE"/>
              </w:rPr>
            </w:pPr>
            <w:r w:rsidRPr="00025237">
              <w:rPr>
                <w:sz w:val="20"/>
                <w:szCs w:val="20"/>
                <w:lang w:val="et-EE" w:eastAsia="et-EE"/>
              </w:rPr>
              <w:t>E</w:t>
            </w:r>
            <w:r w:rsidR="00924C20" w:rsidRPr="00025237">
              <w:rPr>
                <w:sz w:val="20"/>
                <w:szCs w:val="20"/>
                <w:lang w:val="et-EE" w:eastAsia="et-EE"/>
              </w:rPr>
              <w:t>elarve nominaalne ülejääk %</w:t>
            </w:r>
          </w:p>
        </w:tc>
        <w:tc>
          <w:tcPr>
            <w:tcW w:w="856"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-0,3</w:t>
            </w:r>
          </w:p>
        </w:tc>
        <w:tc>
          <w:tcPr>
            <w:tcW w:w="90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0,2</w:t>
            </w:r>
          </w:p>
        </w:tc>
        <w:tc>
          <w:tcPr>
            <w:tcW w:w="99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0,5</w:t>
            </w:r>
          </w:p>
        </w:tc>
        <w:tc>
          <w:tcPr>
            <w:tcW w:w="90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0,4</w:t>
            </w:r>
          </w:p>
        </w:tc>
        <w:tc>
          <w:tcPr>
            <w:tcW w:w="838"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0,2</w:t>
            </w:r>
          </w:p>
        </w:tc>
        <w:tc>
          <w:tcPr>
            <w:tcW w:w="962" w:type="dxa"/>
            <w:tcBorders>
              <w:top w:val="nil"/>
              <w:left w:val="nil"/>
              <w:bottom w:val="single" w:sz="4" w:space="0" w:color="auto"/>
              <w:right w:val="single" w:sz="8"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0,1</w:t>
            </w:r>
          </w:p>
        </w:tc>
      </w:tr>
      <w:tr w:rsidR="00924C20" w:rsidRPr="00710EF6" w:rsidTr="00CC1731">
        <w:trPr>
          <w:trHeight w:val="315"/>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rsidR="00924C20" w:rsidRPr="00025237" w:rsidRDefault="00CC1731" w:rsidP="00CC1731">
            <w:pPr>
              <w:rPr>
                <w:sz w:val="20"/>
                <w:szCs w:val="20"/>
                <w:lang w:val="et-EE" w:eastAsia="et-EE"/>
              </w:rPr>
            </w:pPr>
            <w:r w:rsidRPr="00025237">
              <w:rPr>
                <w:sz w:val="20"/>
                <w:szCs w:val="20"/>
                <w:lang w:val="et-EE" w:eastAsia="et-EE"/>
              </w:rPr>
              <w:t>V</w:t>
            </w:r>
            <w:r w:rsidR="00924C20" w:rsidRPr="00025237">
              <w:rPr>
                <w:sz w:val="20"/>
                <w:szCs w:val="20"/>
                <w:lang w:val="et-EE" w:eastAsia="et-EE"/>
              </w:rPr>
              <w:t>õlakoormus (% SKP-st)</w:t>
            </w:r>
          </w:p>
        </w:tc>
        <w:tc>
          <w:tcPr>
            <w:tcW w:w="856"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9,6</w:t>
            </w:r>
          </w:p>
        </w:tc>
        <w:tc>
          <w:tcPr>
            <w:tcW w:w="90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8,5</w:t>
            </w:r>
          </w:p>
        </w:tc>
        <w:tc>
          <w:tcPr>
            <w:tcW w:w="99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7,7</w:t>
            </w:r>
          </w:p>
        </w:tc>
        <w:tc>
          <w:tcPr>
            <w:tcW w:w="90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6,9</w:t>
            </w:r>
          </w:p>
        </w:tc>
        <w:tc>
          <w:tcPr>
            <w:tcW w:w="838"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6,2</w:t>
            </w:r>
          </w:p>
        </w:tc>
        <w:tc>
          <w:tcPr>
            <w:tcW w:w="962" w:type="dxa"/>
            <w:tcBorders>
              <w:top w:val="nil"/>
              <w:left w:val="nil"/>
              <w:bottom w:val="single" w:sz="4" w:space="0" w:color="auto"/>
              <w:right w:val="single" w:sz="8"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5,3</w:t>
            </w:r>
          </w:p>
        </w:tc>
      </w:tr>
      <w:tr w:rsidR="00924C20" w:rsidRPr="00710EF6" w:rsidTr="00CC1731">
        <w:trPr>
          <w:trHeight w:val="315"/>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rsidR="00924C20" w:rsidRPr="00025237" w:rsidRDefault="00CC1731" w:rsidP="00CC1731">
            <w:pPr>
              <w:rPr>
                <w:sz w:val="20"/>
                <w:szCs w:val="20"/>
                <w:lang w:val="et-EE" w:eastAsia="et-EE"/>
              </w:rPr>
            </w:pPr>
            <w:r w:rsidRPr="00025237">
              <w:rPr>
                <w:sz w:val="20"/>
                <w:szCs w:val="20"/>
                <w:lang w:val="et-EE" w:eastAsia="et-EE"/>
              </w:rPr>
              <w:t>R</w:t>
            </w:r>
            <w:r w:rsidR="00924C20" w:rsidRPr="00025237">
              <w:rPr>
                <w:sz w:val="20"/>
                <w:szCs w:val="20"/>
                <w:lang w:val="et-EE" w:eastAsia="et-EE"/>
              </w:rPr>
              <w:t xml:space="preserve">iigieelarve tulud </w:t>
            </w:r>
            <w:r w:rsidR="003B2D7A" w:rsidRPr="00025237">
              <w:rPr>
                <w:sz w:val="20"/>
                <w:szCs w:val="20"/>
                <w:lang w:val="et-EE" w:eastAsia="et-EE"/>
              </w:rPr>
              <w:t>(mld</w:t>
            </w:r>
            <w:r w:rsidR="00924C20" w:rsidRPr="00025237">
              <w:rPr>
                <w:sz w:val="20"/>
                <w:szCs w:val="20"/>
                <w:lang w:val="et-EE" w:eastAsia="et-EE"/>
              </w:rPr>
              <w:t xml:space="preserve"> eurot)</w:t>
            </w:r>
          </w:p>
        </w:tc>
        <w:tc>
          <w:tcPr>
            <w:tcW w:w="856"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9,3</w:t>
            </w:r>
          </w:p>
        </w:tc>
        <w:tc>
          <w:tcPr>
            <w:tcW w:w="90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10,4</w:t>
            </w:r>
          </w:p>
        </w:tc>
        <w:tc>
          <w:tcPr>
            <w:tcW w:w="99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11,1</w:t>
            </w:r>
          </w:p>
        </w:tc>
        <w:tc>
          <w:tcPr>
            <w:tcW w:w="90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11,5</w:t>
            </w:r>
          </w:p>
        </w:tc>
        <w:tc>
          <w:tcPr>
            <w:tcW w:w="838"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11,9</w:t>
            </w:r>
          </w:p>
        </w:tc>
        <w:tc>
          <w:tcPr>
            <w:tcW w:w="962" w:type="dxa"/>
            <w:tcBorders>
              <w:top w:val="nil"/>
              <w:left w:val="nil"/>
              <w:bottom w:val="single" w:sz="4" w:space="0" w:color="auto"/>
              <w:right w:val="single" w:sz="8"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12,3</w:t>
            </w:r>
          </w:p>
        </w:tc>
      </w:tr>
      <w:tr w:rsidR="00924C20" w:rsidRPr="00710EF6" w:rsidTr="00CC1731">
        <w:trPr>
          <w:trHeight w:val="315"/>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rsidR="00924C20" w:rsidRPr="00025237" w:rsidRDefault="00CC1731" w:rsidP="00CC1731">
            <w:pPr>
              <w:rPr>
                <w:sz w:val="20"/>
                <w:szCs w:val="20"/>
                <w:lang w:val="et-EE" w:eastAsia="et-EE"/>
              </w:rPr>
            </w:pPr>
            <w:r w:rsidRPr="00025237">
              <w:rPr>
                <w:sz w:val="20"/>
                <w:szCs w:val="20"/>
                <w:lang w:val="et-EE" w:eastAsia="et-EE"/>
              </w:rPr>
              <w:t>R</w:t>
            </w:r>
            <w:r w:rsidR="003B2D7A" w:rsidRPr="00025237">
              <w:rPr>
                <w:sz w:val="20"/>
                <w:szCs w:val="20"/>
                <w:lang w:val="et-EE" w:eastAsia="et-EE"/>
              </w:rPr>
              <w:t>iigieelarve kulud (mld</w:t>
            </w:r>
            <w:r w:rsidR="00924C20" w:rsidRPr="00025237">
              <w:rPr>
                <w:sz w:val="20"/>
                <w:szCs w:val="20"/>
                <w:lang w:val="et-EE" w:eastAsia="et-EE"/>
              </w:rPr>
              <w:t xml:space="preserve"> eurot)</w:t>
            </w:r>
          </w:p>
        </w:tc>
        <w:tc>
          <w:tcPr>
            <w:tcW w:w="856"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9,7</w:t>
            </w:r>
          </w:p>
        </w:tc>
        <w:tc>
          <w:tcPr>
            <w:tcW w:w="90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10,6</w:t>
            </w:r>
          </w:p>
        </w:tc>
        <w:tc>
          <w:tcPr>
            <w:tcW w:w="99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11,3</w:t>
            </w:r>
          </w:p>
        </w:tc>
        <w:tc>
          <w:tcPr>
            <w:tcW w:w="90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11,7</w:t>
            </w:r>
          </w:p>
        </w:tc>
        <w:tc>
          <w:tcPr>
            <w:tcW w:w="838"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11,9</w:t>
            </w:r>
          </w:p>
        </w:tc>
        <w:tc>
          <w:tcPr>
            <w:tcW w:w="962" w:type="dxa"/>
            <w:tcBorders>
              <w:top w:val="nil"/>
              <w:left w:val="nil"/>
              <w:bottom w:val="single" w:sz="4" w:space="0" w:color="auto"/>
              <w:right w:val="single" w:sz="8"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12,1</w:t>
            </w:r>
          </w:p>
        </w:tc>
      </w:tr>
      <w:tr w:rsidR="00924C20" w:rsidRPr="00710EF6" w:rsidTr="00CC1731">
        <w:trPr>
          <w:trHeight w:val="330"/>
        </w:trPr>
        <w:tc>
          <w:tcPr>
            <w:tcW w:w="3534" w:type="dxa"/>
            <w:tcBorders>
              <w:top w:val="nil"/>
              <w:left w:val="single" w:sz="8" w:space="0" w:color="auto"/>
              <w:bottom w:val="single" w:sz="8" w:space="0" w:color="auto"/>
              <w:right w:val="single" w:sz="4" w:space="0" w:color="auto"/>
            </w:tcBorders>
            <w:shd w:val="clear" w:color="auto" w:fill="auto"/>
            <w:noWrap/>
            <w:vAlign w:val="bottom"/>
            <w:hideMark/>
          </w:tcPr>
          <w:p w:rsidR="00924C20" w:rsidRPr="00025237" w:rsidRDefault="00CC1731" w:rsidP="00CC1731">
            <w:pPr>
              <w:rPr>
                <w:sz w:val="20"/>
                <w:szCs w:val="20"/>
                <w:lang w:val="et-EE" w:eastAsia="et-EE"/>
              </w:rPr>
            </w:pPr>
            <w:r w:rsidRPr="00025237">
              <w:rPr>
                <w:sz w:val="20"/>
                <w:szCs w:val="20"/>
                <w:lang w:val="et-EE" w:eastAsia="et-EE"/>
              </w:rPr>
              <w:t>M</w:t>
            </w:r>
            <w:r w:rsidR="00924C20" w:rsidRPr="00025237">
              <w:rPr>
                <w:sz w:val="20"/>
                <w:szCs w:val="20"/>
                <w:lang w:val="et-EE" w:eastAsia="et-EE"/>
              </w:rPr>
              <w:t>aksutulu % SKP-st</w:t>
            </w:r>
          </w:p>
        </w:tc>
        <w:tc>
          <w:tcPr>
            <w:tcW w:w="856" w:type="dxa"/>
            <w:tcBorders>
              <w:top w:val="nil"/>
              <w:left w:val="nil"/>
              <w:bottom w:val="single" w:sz="8"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33,6</w:t>
            </w:r>
          </w:p>
        </w:tc>
        <w:tc>
          <w:tcPr>
            <w:tcW w:w="900" w:type="dxa"/>
            <w:tcBorders>
              <w:top w:val="nil"/>
              <w:left w:val="nil"/>
              <w:bottom w:val="single" w:sz="8"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34,3</w:t>
            </w:r>
          </w:p>
        </w:tc>
        <w:tc>
          <w:tcPr>
            <w:tcW w:w="990" w:type="dxa"/>
            <w:tcBorders>
              <w:top w:val="nil"/>
              <w:left w:val="nil"/>
              <w:bottom w:val="single" w:sz="8"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34,6</w:t>
            </w:r>
          </w:p>
        </w:tc>
        <w:tc>
          <w:tcPr>
            <w:tcW w:w="900" w:type="dxa"/>
            <w:tcBorders>
              <w:top w:val="nil"/>
              <w:left w:val="nil"/>
              <w:bottom w:val="single" w:sz="8"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34,3</w:t>
            </w:r>
          </w:p>
        </w:tc>
        <w:tc>
          <w:tcPr>
            <w:tcW w:w="838" w:type="dxa"/>
            <w:tcBorders>
              <w:top w:val="nil"/>
              <w:left w:val="nil"/>
              <w:bottom w:val="single" w:sz="8" w:space="0" w:color="auto"/>
              <w:right w:val="single" w:sz="4"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34,4</w:t>
            </w:r>
          </w:p>
        </w:tc>
        <w:tc>
          <w:tcPr>
            <w:tcW w:w="962" w:type="dxa"/>
            <w:tcBorders>
              <w:top w:val="nil"/>
              <w:left w:val="nil"/>
              <w:bottom w:val="single" w:sz="8" w:space="0" w:color="auto"/>
              <w:right w:val="single" w:sz="8" w:space="0" w:color="auto"/>
            </w:tcBorders>
            <w:shd w:val="clear" w:color="auto" w:fill="auto"/>
            <w:noWrap/>
            <w:vAlign w:val="bottom"/>
            <w:hideMark/>
          </w:tcPr>
          <w:p w:rsidR="00924C20" w:rsidRPr="00710EF6" w:rsidRDefault="00924C20" w:rsidP="00D72106">
            <w:pPr>
              <w:jc w:val="right"/>
              <w:rPr>
                <w:sz w:val="20"/>
                <w:szCs w:val="20"/>
                <w:lang w:val="et-EE" w:eastAsia="et-EE"/>
              </w:rPr>
            </w:pPr>
            <w:r w:rsidRPr="00710EF6">
              <w:rPr>
                <w:sz w:val="20"/>
                <w:szCs w:val="20"/>
                <w:lang w:val="et-EE" w:eastAsia="et-EE"/>
              </w:rPr>
              <w:t>34,2</w:t>
            </w:r>
          </w:p>
        </w:tc>
      </w:tr>
    </w:tbl>
    <w:p w:rsidR="005C460A" w:rsidRPr="00710EF6" w:rsidRDefault="00FE0274" w:rsidP="00924C20">
      <w:pPr>
        <w:pStyle w:val="Default"/>
        <w:jc w:val="both"/>
        <w:rPr>
          <w:b/>
          <w:bCs/>
          <w:color w:val="auto"/>
          <w:sz w:val="20"/>
          <w:szCs w:val="20"/>
          <w:lang w:val="et-EE"/>
        </w:rPr>
      </w:pPr>
      <w:r>
        <w:rPr>
          <w:b/>
          <w:bCs/>
          <w:color w:val="auto"/>
          <w:sz w:val="20"/>
          <w:szCs w:val="20"/>
          <w:lang w:val="et-EE"/>
        </w:rPr>
        <w:br/>
      </w:r>
      <w:r w:rsidR="005C460A" w:rsidRPr="00710EF6">
        <w:rPr>
          <w:b/>
          <w:bCs/>
          <w:color w:val="auto"/>
          <w:sz w:val="20"/>
          <w:szCs w:val="20"/>
          <w:lang w:val="et-EE"/>
        </w:rPr>
        <w:t>Tabel 1. Riigi peamised majanduslikud näitajad 2017, prognoos 2018-2022</w:t>
      </w:r>
      <w:r w:rsidR="00605585" w:rsidRPr="00710EF6">
        <w:rPr>
          <w:b/>
          <w:bCs/>
          <w:color w:val="auto"/>
          <w:sz w:val="20"/>
          <w:szCs w:val="20"/>
          <w:lang w:val="et-EE"/>
        </w:rPr>
        <w:t>.</w:t>
      </w:r>
    </w:p>
    <w:p w:rsidR="005C460A" w:rsidRDefault="005C460A" w:rsidP="00924C20">
      <w:pPr>
        <w:pStyle w:val="Default"/>
        <w:jc w:val="both"/>
        <w:rPr>
          <w:rFonts w:ascii="Trebuchet MS" w:hAnsi="Trebuchet MS"/>
          <w:b/>
          <w:bCs/>
          <w:color w:val="auto"/>
          <w:sz w:val="22"/>
          <w:szCs w:val="22"/>
          <w:lang w:val="et-EE"/>
        </w:rPr>
      </w:pPr>
    </w:p>
    <w:p w:rsidR="00924C20" w:rsidRPr="00025237" w:rsidRDefault="00B1576C" w:rsidP="00667A9D">
      <w:pPr>
        <w:pStyle w:val="Default"/>
        <w:spacing w:line="276" w:lineRule="auto"/>
        <w:jc w:val="both"/>
        <w:rPr>
          <w:bCs/>
          <w:color w:val="auto"/>
          <w:lang w:val="et-EE"/>
        </w:rPr>
      </w:pPr>
      <w:r w:rsidRPr="00710EF6">
        <w:rPr>
          <w:lang w:val="et-EE"/>
        </w:rPr>
        <w:lastRenderedPageBreak/>
        <w:t>Sisemajanduse koguprodukti (</w:t>
      </w:r>
      <w:r w:rsidR="00322766" w:rsidRPr="00710EF6">
        <w:rPr>
          <w:bCs/>
          <w:color w:val="auto"/>
          <w:lang w:val="et-EE"/>
        </w:rPr>
        <w:t>SKP</w:t>
      </w:r>
      <w:r w:rsidRPr="00710EF6">
        <w:rPr>
          <w:bCs/>
          <w:color w:val="auto"/>
          <w:lang w:val="et-EE"/>
        </w:rPr>
        <w:t>)</w:t>
      </w:r>
      <w:r w:rsidR="00322766" w:rsidRPr="00710EF6">
        <w:rPr>
          <w:bCs/>
          <w:color w:val="auto"/>
          <w:lang w:val="et-EE"/>
        </w:rPr>
        <w:t xml:space="preserve"> kasv on jätkuv</w:t>
      </w:r>
      <w:r w:rsidR="002D0087" w:rsidRPr="00710EF6">
        <w:rPr>
          <w:bCs/>
          <w:color w:val="auto"/>
          <w:lang w:val="et-EE"/>
        </w:rPr>
        <w:t xml:space="preserve"> –</w:t>
      </w:r>
      <w:r w:rsidRPr="00710EF6">
        <w:rPr>
          <w:bCs/>
          <w:color w:val="auto"/>
          <w:lang w:val="et-EE"/>
        </w:rPr>
        <w:t xml:space="preserve">perioodil </w:t>
      </w:r>
      <w:r w:rsidR="002D0087" w:rsidRPr="00710EF6">
        <w:rPr>
          <w:bCs/>
          <w:color w:val="auto"/>
          <w:lang w:val="et-EE"/>
        </w:rPr>
        <w:t>2017/2018 + 4%</w:t>
      </w:r>
      <w:r w:rsidR="00322766" w:rsidRPr="00710EF6">
        <w:rPr>
          <w:bCs/>
          <w:color w:val="auto"/>
          <w:lang w:val="et-EE"/>
        </w:rPr>
        <w:t>, kuid kasvutempo jääb aeglasemaks</w:t>
      </w:r>
      <w:r w:rsidR="002D0087" w:rsidRPr="00710EF6">
        <w:rPr>
          <w:bCs/>
          <w:color w:val="auto"/>
          <w:lang w:val="et-EE"/>
        </w:rPr>
        <w:t xml:space="preserve"> – </w:t>
      </w:r>
      <w:r w:rsidRPr="00710EF6">
        <w:rPr>
          <w:bCs/>
          <w:color w:val="auto"/>
          <w:lang w:val="et-EE"/>
        </w:rPr>
        <w:t xml:space="preserve">perioodil </w:t>
      </w:r>
      <w:r w:rsidR="002D0087" w:rsidRPr="00710EF6">
        <w:rPr>
          <w:bCs/>
          <w:color w:val="auto"/>
          <w:lang w:val="et-EE"/>
        </w:rPr>
        <w:t>2021/2022 + 2,9%.</w:t>
      </w:r>
      <w:r w:rsidR="00322766" w:rsidRPr="00710EF6">
        <w:rPr>
          <w:bCs/>
          <w:color w:val="auto"/>
          <w:lang w:val="et-EE"/>
        </w:rPr>
        <w:t xml:space="preserve"> Eelarve nominaalne puudujääk</w:t>
      </w:r>
      <w:r w:rsidR="002D0087" w:rsidRPr="00710EF6">
        <w:rPr>
          <w:bCs/>
          <w:color w:val="auto"/>
          <w:lang w:val="et-EE"/>
        </w:rPr>
        <w:t xml:space="preserve"> (2017)</w:t>
      </w:r>
      <w:r w:rsidR="00322766" w:rsidRPr="00710EF6">
        <w:rPr>
          <w:bCs/>
          <w:color w:val="auto"/>
          <w:lang w:val="et-EE"/>
        </w:rPr>
        <w:t xml:space="preserve"> peab üle minema ülejäägiks. Võlakoormus väheneb, eelarve mahud (tulud, kulud) kasvavad. Maksutulu osakaal SKP-st jääb </w:t>
      </w:r>
      <w:r w:rsidR="00322766" w:rsidRPr="00025237">
        <w:rPr>
          <w:bCs/>
          <w:color w:val="auto"/>
          <w:lang w:val="et-EE"/>
        </w:rPr>
        <w:t>stabiilselt 34% juurde.</w:t>
      </w:r>
    </w:p>
    <w:p w:rsidR="00B1576C" w:rsidRPr="00025237" w:rsidRDefault="00B1576C" w:rsidP="00667A9D">
      <w:pPr>
        <w:pStyle w:val="Default"/>
        <w:spacing w:line="276" w:lineRule="auto"/>
        <w:jc w:val="both"/>
        <w:rPr>
          <w:bCs/>
          <w:color w:val="auto"/>
          <w:lang w:val="et-EE"/>
        </w:rPr>
      </w:pPr>
    </w:p>
    <w:p w:rsidR="002D0087" w:rsidRPr="00710EF6" w:rsidRDefault="002D0087" w:rsidP="00667A9D">
      <w:pPr>
        <w:pStyle w:val="Default"/>
        <w:spacing w:line="276" w:lineRule="auto"/>
        <w:jc w:val="both"/>
        <w:rPr>
          <w:bCs/>
          <w:color w:val="auto"/>
          <w:lang w:val="et-EE"/>
        </w:rPr>
      </w:pPr>
      <w:r w:rsidRPr="00025237">
        <w:rPr>
          <w:bCs/>
          <w:color w:val="auto"/>
          <w:lang w:val="et-EE"/>
        </w:rPr>
        <w:t>Hindade muutus (kasv) on prognoositud 2018</w:t>
      </w:r>
      <w:r w:rsidR="003B2D7A" w:rsidRPr="00025237">
        <w:rPr>
          <w:bCs/>
          <w:color w:val="auto"/>
          <w:lang w:val="et-EE"/>
        </w:rPr>
        <w:t>.</w:t>
      </w:r>
      <w:r w:rsidRPr="00025237">
        <w:rPr>
          <w:bCs/>
          <w:color w:val="auto"/>
          <w:lang w:val="et-EE"/>
        </w:rPr>
        <w:t xml:space="preserve"> aastal 2,9%, mis 2022 langeb 2,0%-ni. Keskmi</w:t>
      </w:r>
      <w:r w:rsidR="00025237">
        <w:rPr>
          <w:bCs/>
          <w:color w:val="auto"/>
          <w:lang w:val="et-EE"/>
        </w:rPr>
        <w:t>n</w:t>
      </w:r>
      <w:r w:rsidRPr="00025237">
        <w:rPr>
          <w:bCs/>
          <w:color w:val="auto"/>
          <w:lang w:val="et-EE"/>
        </w:rPr>
        <w:t>e pal</w:t>
      </w:r>
      <w:r w:rsidR="00025237">
        <w:rPr>
          <w:bCs/>
          <w:color w:val="auto"/>
          <w:lang w:val="et-EE"/>
        </w:rPr>
        <w:t>k</w:t>
      </w:r>
      <w:r w:rsidRPr="00025237">
        <w:rPr>
          <w:bCs/>
          <w:color w:val="auto"/>
          <w:lang w:val="et-EE"/>
        </w:rPr>
        <w:t xml:space="preserve"> on prognoositud 2018</w:t>
      </w:r>
      <w:r w:rsidR="00B1576C" w:rsidRPr="00025237">
        <w:rPr>
          <w:bCs/>
          <w:color w:val="auto"/>
          <w:lang w:val="et-EE"/>
        </w:rPr>
        <w:t>.</w:t>
      </w:r>
      <w:r w:rsidRPr="00025237">
        <w:rPr>
          <w:bCs/>
          <w:color w:val="auto"/>
          <w:lang w:val="et-EE"/>
        </w:rPr>
        <w:t xml:space="preserve"> aastaks 1307 eurot ja </w:t>
      </w:r>
      <w:r w:rsidR="00B1576C" w:rsidRPr="00025237">
        <w:rPr>
          <w:bCs/>
          <w:color w:val="auto"/>
          <w:lang w:val="et-EE"/>
        </w:rPr>
        <w:t xml:space="preserve">see </w:t>
      </w:r>
      <w:r w:rsidRPr="00025237">
        <w:rPr>
          <w:bCs/>
          <w:color w:val="auto"/>
          <w:lang w:val="et-EE"/>
        </w:rPr>
        <w:t>tõuseb 2022</w:t>
      </w:r>
      <w:r w:rsidR="00B1576C" w:rsidRPr="00025237">
        <w:rPr>
          <w:bCs/>
          <w:color w:val="auto"/>
          <w:lang w:val="et-EE"/>
        </w:rPr>
        <w:t>.</w:t>
      </w:r>
      <w:r w:rsidRPr="00025237">
        <w:rPr>
          <w:bCs/>
          <w:color w:val="auto"/>
          <w:lang w:val="et-EE"/>
        </w:rPr>
        <w:t xml:space="preserve"> aastaks 1628 euroni.</w:t>
      </w:r>
      <w:r w:rsidRPr="00710EF6">
        <w:rPr>
          <w:bCs/>
          <w:color w:val="auto"/>
          <w:lang w:val="et-EE"/>
        </w:rPr>
        <w:t xml:space="preserve"> </w:t>
      </w:r>
    </w:p>
    <w:p w:rsidR="002D0087" w:rsidRPr="00710EF6" w:rsidRDefault="002D0087" w:rsidP="00667A9D">
      <w:pPr>
        <w:pStyle w:val="Default"/>
        <w:spacing w:line="276" w:lineRule="auto"/>
        <w:jc w:val="both"/>
        <w:rPr>
          <w:bCs/>
          <w:color w:val="auto"/>
          <w:lang w:val="et-EE"/>
        </w:rPr>
      </w:pPr>
    </w:p>
    <w:p w:rsidR="002D0087" w:rsidRPr="00710EF6" w:rsidRDefault="002D0087" w:rsidP="00667A9D">
      <w:pPr>
        <w:pStyle w:val="Default"/>
        <w:spacing w:line="276" w:lineRule="auto"/>
        <w:jc w:val="both"/>
        <w:rPr>
          <w:bCs/>
          <w:color w:val="auto"/>
          <w:lang w:val="et-EE"/>
        </w:rPr>
      </w:pPr>
      <w:r w:rsidRPr="00710EF6">
        <w:rPr>
          <w:bCs/>
          <w:color w:val="auto"/>
          <w:lang w:val="et-EE"/>
        </w:rPr>
        <w:t>Riigi eelarve maht peaks prognooside järgi kasvama 15 aasta jooksul kahekordseks. Arvestuse alguseks on võetu</w:t>
      </w:r>
      <w:r w:rsidR="00B1576C" w:rsidRPr="00710EF6">
        <w:rPr>
          <w:bCs/>
          <w:color w:val="auto"/>
          <w:lang w:val="et-EE"/>
        </w:rPr>
        <w:t>d</w:t>
      </w:r>
      <w:r w:rsidRPr="00710EF6">
        <w:rPr>
          <w:bCs/>
          <w:color w:val="auto"/>
          <w:lang w:val="et-EE"/>
        </w:rPr>
        <w:t xml:space="preserve"> 2007</w:t>
      </w:r>
      <w:r w:rsidR="00CF74A6" w:rsidRPr="00710EF6">
        <w:rPr>
          <w:bCs/>
          <w:color w:val="auto"/>
          <w:lang w:val="et-EE"/>
        </w:rPr>
        <w:t>.</w:t>
      </w:r>
      <w:r w:rsidRPr="00710EF6">
        <w:rPr>
          <w:bCs/>
          <w:color w:val="auto"/>
          <w:lang w:val="et-EE"/>
        </w:rPr>
        <w:t xml:space="preserve"> aasta. </w:t>
      </w:r>
    </w:p>
    <w:p w:rsidR="00924C20" w:rsidRPr="00710EF6" w:rsidRDefault="00B7299D" w:rsidP="00710EF6">
      <w:pPr>
        <w:pStyle w:val="Pealkiri2"/>
        <w:spacing w:line="276" w:lineRule="auto"/>
        <w:rPr>
          <w:rFonts w:ascii="Times New Roman" w:hAnsi="Times New Roman" w:cs="Times New Roman"/>
          <w:color w:val="auto"/>
          <w:sz w:val="24"/>
          <w:szCs w:val="24"/>
          <w:lang w:val="et-EE"/>
        </w:rPr>
      </w:pPr>
      <w:bookmarkStart w:id="6" w:name="_Toc521395292"/>
      <w:r w:rsidRPr="00710EF6">
        <w:rPr>
          <w:rFonts w:ascii="Times New Roman" w:hAnsi="Times New Roman" w:cs="Times New Roman"/>
          <w:color w:val="auto"/>
          <w:sz w:val="24"/>
          <w:szCs w:val="24"/>
          <w:lang w:val="et-EE"/>
        </w:rPr>
        <w:t>1</w:t>
      </w:r>
      <w:r w:rsidR="005D7C45" w:rsidRPr="00710EF6">
        <w:rPr>
          <w:rFonts w:ascii="Times New Roman" w:hAnsi="Times New Roman" w:cs="Times New Roman"/>
          <w:color w:val="auto"/>
          <w:sz w:val="24"/>
          <w:szCs w:val="24"/>
          <w:lang w:val="et-EE"/>
        </w:rPr>
        <w:t>.3</w:t>
      </w:r>
      <w:r w:rsidR="00D06485">
        <w:rPr>
          <w:rFonts w:ascii="Times New Roman" w:hAnsi="Times New Roman" w:cs="Times New Roman"/>
          <w:color w:val="auto"/>
          <w:sz w:val="24"/>
          <w:szCs w:val="24"/>
          <w:lang w:val="et-EE"/>
        </w:rPr>
        <w:t>.</w:t>
      </w:r>
      <w:r w:rsidR="00813292" w:rsidRPr="00710EF6">
        <w:rPr>
          <w:rFonts w:ascii="Times New Roman" w:hAnsi="Times New Roman" w:cs="Times New Roman"/>
          <w:color w:val="auto"/>
          <w:sz w:val="24"/>
          <w:szCs w:val="24"/>
          <w:lang w:val="et-EE"/>
        </w:rPr>
        <w:t xml:space="preserve"> </w:t>
      </w:r>
      <w:r w:rsidR="00924C20" w:rsidRPr="00710EF6">
        <w:rPr>
          <w:rFonts w:ascii="Times New Roman" w:hAnsi="Times New Roman" w:cs="Times New Roman"/>
          <w:color w:val="auto"/>
          <w:sz w:val="24"/>
          <w:szCs w:val="24"/>
          <w:lang w:val="et-EE"/>
        </w:rPr>
        <w:t>Maksupoliitilised eesmärgid</w:t>
      </w:r>
      <w:bookmarkEnd w:id="6"/>
      <w:r w:rsidR="00924C20" w:rsidRPr="00710EF6">
        <w:rPr>
          <w:rFonts w:ascii="Times New Roman" w:hAnsi="Times New Roman" w:cs="Times New Roman"/>
          <w:color w:val="auto"/>
          <w:sz w:val="24"/>
          <w:szCs w:val="24"/>
          <w:lang w:val="et-EE"/>
        </w:rPr>
        <w:t xml:space="preserve"> </w:t>
      </w:r>
    </w:p>
    <w:p w:rsidR="00924C20" w:rsidRPr="00710EF6" w:rsidRDefault="00924C20" w:rsidP="00710EF6">
      <w:pPr>
        <w:pStyle w:val="Default"/>
        <w:spacing w:line="276" w:lineRule="auto"/>
        <w:rPr>
          <w:bCs/>
          <w:color w:val="auto"/>
          <w:lang w:val="et-EE"/>
        </w:rPr>
      </w:pPr>
    </w:p>
    <w:p w:rsidR="00924C20" w:rsidRPr="00710EF6" w:rsidRDefault="00B1576C" w:rsidP="00710EF6">
      <w:pPr>
        <w:pStyle w:val="Default"/>
        <w:spacing w:line="276" w:lineRule="auto"/>
        <w:jc w:val="both"/>
        <w:rPr>
          <w:bCs/>
          <w:color w:val="auto"/>
          <w:lang w:val="et-EE"/>
        </w:rPr>
      </w:pPr>
      <w:r w:rsidRPr="00710EF6">
        <w:rPr>
          <w:bCs/>
          <w:color w:val="auto"/>
          <w:lang w:val="et-EE"/>
        </w:rPr>
        <w:t xml:space="preserve">Vabariigi </w:t>
      </w:r>
      <w:r w:rsidR="00924C20" w:rsidRPr="00710EF6">
        <w:rPr>
          <w:bCs/>
          <w:color w:val="auto"/>
          <w:lang w:val="et-EE"/>
        </w:rPr>
        <w:t>Valitsuse eesmärk on stabilis</w:t>
      </w:r>
      <w:r w:rsidR="00F02104" w:rsidRPr="00710EF6">
        <w:rPr>
          <w:bCs/>
          <w:color w:val="auto"/>
          <w:lang w:val="et-EE"/>
        </w:rPr>
        <w:t>eerida maksukoormus 34%</w:t>
      </w:r>
      <w:r w:rsidR="00924C20" w:rsidRPr="00710EF6">
        <w:rPr>
          <w:bCs/>
          <w:color w:val="auto"/>
          <w:lang w:val="et-EE"/>
        </w:rPr>
        <w:t xml:space="preserve"> lähedal SKP</w:t>
      </w:r>
      <w:r w:rsidRPr="00710EF6">
        <w:rPr>
          <w:bCs/>
          <w:color w:val="auto"/>
          <w:lang w:val="et-EE"/>
        </w:rPr>
        <w:t>-</w:t>
      </w:r>
      <w:r w:rsidR="00924C20" w:rsidRPr="00710EF6">
        <w:rPr>
          <w:bCs/>
          <w:color w:val="auto"/>
          <w:lang w:val="et-EE"/>
        </w:rPr>
        <w:t xml:space="preserve">st, vähendades tööjõuga seotud makse. </w:t>
      </w:r>
    </w:p>
    <w:p w:rsidR="00924C20" w:rsidRPr="00710EF6" w:rsidRDefault="00924C20" w:rsidP="00710EF6">
      <w:pPr>
        <w:pStyle w:val="Default"/>
        <w:spacing w:line="276" w:lineRule="auto"/>
        <w:rPr>
          <w:bCs/>
          <w:color w:val="auto"/>
          <w:lang w:val="et-EE"/>
        </w:rPr>
      </w:pPr>
    </w:p>
    <w:p w:rsidR="00924C20" w:rsidRPr="00710EF6" w:rsidRDefault="00924C20" w:rsidP="00710EF6">
      <w:pPr>
        <w:pStyle w:val="Default"/>
        <w:spacing w:line="276" w:lineRule="auto"/>
        <w:jc w:val="both"/>
        <w:rPr>
          <w:lang w:val="et-EE"/>
        </w:rPr>
      </w:pPr>
      <w:r w:rsidRPr="00710EF6">
        <w:rPr>
          <w:lang w:val="et-EE"/>
        </w:rPr>
        <w:t xml:space="preserve">Eesti </w:t>
      </w:r>
      <w:r w:rsidR="00B1576C" w:rsidRPr="00710EF6">
        <w:rPr>
          <w:lang w:val="et-EE"/>
        </w:rPr>
        <w:t xml:space="preserve">riigi </w:t>
      </w:r>
      <w:r w:rsidRPr="00710EF6">
        <w:rPr>
          <w:lang w:val="et-EE"/>
        </w:rPr>
        <w:t>eelarvepoliitika põhieesmärk iseseisvusaastate jooksul on olnud hoida valitsussektori eelarvepositsioon keskpikal perioodil tasakaalus ning võimaluse korral ülejäägiga, mis on omakorda väljendunud madalas võlakoormuse tasemes. 2017. aasta lõpus ulatus Eesti valitsussektori võlg 9%</w:t>
      </w:r>
      <w:r w:rsidR="00B1576C" w:rsidRPr="00710EF6">
        <w:rPr>
          <w:lang w:val="et-EE"/>
        </w:rPr>
        <w:t>-</w:t>
      </w:r>
      <w:r w:rsidRPr="00710EF6">
        <w:rPr>
          <w:lang w:val="et-EE"/>
        </w:rPr>
        <w:t>ni SKP</w:t>
      </w:r>
      <w:r w:rsidR="00B1576C" w:rsidRPr="00710EF6">
        <w:rPr>
          <w:lang w:val="et-EE"/>
        </w:rPr>
        <w:t>-</w:t>
      </w:r>
      <w:r w:rsidRPr="00710EF6">
        <w:rPr>
          <w:lang w:val="et-EE"/>
        </w:rPr>
        <w:t>st, mis on võrreldes 2016. aastaga 0,4% madalam tase. Võla osakaalu vähenemise peamiseks põhjuseks oli SKP kiirem kasv võrreldes võla kasvuga. Nominaalselt kasvas eelmisel aastal kohalike omavalitsuste ning keskvalitsusse kaasatud avalik-õiguslike ja sihtasutuste võlg. Valitsussektori 2066 m</w:t>
      </w:r>
      <w:r w:rsidR="00B1576C" w:rsidRPr="00710EF6">
        <w:rPr>
          <w:lang w:val="et-EE"/>
        </w:rPr>
        <w:t>iljoni</w:t>
      </w:r>
      <w:r w:rsidRPr="00710EF6">
        <w:rPr>
          <w:lang w:val="et-EE"/>
        </w:rPr>
        <w:t xml:space="preserve"> euro suurusest võlgnevusest moodustas keskvalitsuse panus koos EFSF</w:t>
      </w:r>
      <w:r w:rsidR="00B1576C" w:rsidRPr="00710EF6">
        <w:rPr>
          <w:lang w:val="et-EE"/>
        </w:rPr>
        <w:t>-</w:t>
      </w:r>
      <w:r w:rsidRPr="00710EF6">
        <w:rPr>
          <w:lang w:val="et-EE"/>
        </w:rPr>
        <w:t>i mõjuga arvestuslikult 1307 m</w:t>
      </w:r>
      <w:r w:rsidR="00B1576C" w:rsidRPr="00710EF6">
        <w:rPr>
          <w:lang w:val="et-EE"/>
        </w:rPr>
        <w:t>i</w:t>
      </w:r>
      <w:r w:rsidRPr="00710EF6">
        <w:rPr>
          <w:lang w:val="et-EE"/>
        </w:rPr>
        <w:t>l</w:t>
      </w:r>
      <w:r w:rsidR="00B1576C" w:rsidRPr="00710EF6">
        <w:rPr>
          <w:lang w:val="et-EE"/>
        </w:rPr>
        <w:t>jonit</w:t>
      </w:r>
      <w:r w:rsidRPr="00710EF6">
        <w:rPr>
          <w:lang w:val="et-EE"/>
        </w:rPr>
        <w:t xml:space="preserve"> eurot ning kohalike omavalitsuste võlg 758 m</w:t>
      </w:r>
      <w:r w:rsidR="00B1576C" w:rsidRPr="00710EF6">
        <w:rPr>
          <w:lang w:val="et-EE"/>
        </w:rPr>
        <w:t>iljonit</w:t>
      </w:r>
      <w:r w:rsidRPr="00710EF6">
        <w:rPr>
          <w:lang w:val="et-EE"/>
        </w:rPr>
        <w:t xml:space="preserve"> eurot, välisvõla osakaal oli koguvõlast 62%. Ilma EFSF</w:t>
      </w:r>
      <w:r w:rsidR="00B1576C" w:rsidRPr="00710EF6">
        <w:rPr>
          <w:lang w:val="et-EE"/>
        </w:rPr>
        <w:t>-</w:t>
      </w:r>
      <w:r w:rsidRPr="00710EF6">
        <w:rPr>
          <w:lang w:val="et-EE"/>
        </w:rPr>
        <w:t>i mõjuta, mis ulatus 2017. aastal 455 m</w:t>
      </w:r>
      <w:r w:rsidR="00B1576C" w:rsidRPr="00710EF6">
        <w:rPr>
          <w:lang w:val="et-EE"/>
        </w:rPr>
        <w:t>iljoni</w:t>
      </w:r>
      <w:r w:rsidRPr="00710EF6">
        <w:rPr>
          <w:lang w:val="et-EE"/>
        </w:rPr>
        <w:t xml:space="preserve"> euroni, moodustas keskvalitsuse panus võlakoormusesse 853 m</w:t>
      </w:r>
      <w:r w:rsidR="00B1576C" w:rsidRPr="00710EF6">
        <w:rPr>
          <w:lang w:val="et-EE"/>
        </w:rPr>
        <w:t>i</w:t>
      </w:r>
      <w:r w:rsidRPr="00710EF6">
        <w:rPr>
          <w:lang w:val="et-EE"/>
        </w:rPr>
        <w:t>l</w:t>
      </w:r>
      <w:r w:rsidR="00B1576C" w:rsidRPr="00710EF6">
        <w:rPr>
          <w:lang w:val="et-EE"/>
        </w:rPr>
        <w:t>jonit</w:t>
      </w:r>
      <w:r w:rsidRPr="00710EF6">
        <w:rPr>
          <w:lang w:val="et-EE"/>
        </w:rPr>
        <w:t xml:space="preserve"> eurot ehk 3,7% SKP</w:t>
      </w:r>
      <w:r w:rsidR="00B1576C" w:rsidRPr="00710EF6">
        <w:rPr>
          <w:lang w:val="et-EE"/>
        </w:rPr>
        <w:t>-</w:t>
      </w:r>
      <w:r w:rsidRPr="00710EF6">
        <w:rPr>
          <w:lang w:val="et-EE"/>
        </w:rPr>
        <w:t>st.</w:t>
      </w:r>
    </w:p>
    <w:p w:rsidR="00924C20" w:rsidRPr="00710EF6" w:rsidRDefault="00B7299D" w:rsidP="00710EF6">
      <w:pPr>
        <w:pStyle w:val="Pealkiri2"/>
        <w:spacing w:line="276" w:lineRule="auto"/>
        <w:rPr>
          <w:rFonts w:ascii="Times New Roman" w:hAnsi="Times New Roman" w:cs="Times New Roman"/>
          <w:color w:val="auto"/>
          <w:sz w:val="24"/>
          <w:szCs w:val="24"/>
          <w:lang w:val="et-EE"/>
        </w:rPr>
      </w:pPr>
      <w:bookmarkStart w:id="7" w:name="_Toc521395293"/>
      <w:r w:rsidRPr="00710EF6">
        <w:rPr>
          <w:rFonts w:ascii="Times New Roman" w:hAnsi="Times New Roman" w:cs="Times New Roman"/>
          <w:color w:val="auto"/>
          <w:sz w:val="24"/>
          <w:szCs w:val="24"/>
          <w:lang w:val="et-EE"/>
        </w:rPr>
        <w:t>1</w:t>
      </w:r>
      <w:r w:rsidR="005D7C45" w:rsidRPr="00710EF6">
        <w:rPr>
          <w:rFonts w:ascii="Times New Roman" w:hAnsi="Times New Roman" w:cs="Times New Roman"/>
          <w:color w:val="auto"/>
          <w:sz w:val="24"/>
          <w:szCs w:val="24"/>
          <w:lang w:val="et-EE"/>
        </w:rPr>
        <w:t>.4</w:t>
      </w:r>
      <w:r w:rsidR="00D06485">
        <w:rPr>
          <w:rFonts w:ascii="Times New Roman" w:hAnsi="Times New Roman" w:cs="Times New Roman"/>
          <w:color w:val="auto"/>
          <w:sz w:val="24"/>
          <w:szCs w:val="24"/>
          <w:lang w:val="et-EE"/>
        </w:rPr>
        <w:t>.</w:t>
      </w:r>
      <w:r w:rsidR="00813292" w:rsidRPr="00710EF6">
        <w:rPr>
          <w:rFonts w:ascii="Times New Roman" w:hAnsi="Times New Roman" w:cs="Times New Roman"/>
          <w:color w:val="auto"/>
          <w:sz w:val="24"/>
          <w:szCs w:val="24"/>
          <w:lang w:val="et-EE"/>
        </w:rPr>
        <w:t xml:space="preserve"> </w:t>
      </w:r>
      <w:r w:rsidR="00924C20" w:rsidRPr="00710EF6">
        <w:rPr>
          <w:rFonts w:ascii="Times New Roman" w:hAnsi="Times New Roman" w:cs="Times New Roman"/>
          <w:color w:val="auto"/>
          <w:sz w:val="24"/>
          <w:szCs w:val="24"/>
          <w:lang w:val="et-EE"/>
        </w:rPr>
        <w:t>Investeeringud</w:t>
      </w:r>
      <w:bookmarkEnd w:id="7"/>
    </w:p>
    <w:p w:rsidR="00924C20" w:rsidRPr="00710EF6" w:rsidRDefault="00924C20" w:rsidP="00710EF6">
      <w:pPr>
        <w:autoSpaceDE w:val="0"/>
        <w:autoSpaceDN w:val="0"/>
        <w:adjustRightInd w:val="0"/>
        <w:spacing w:line="276" w:lineRule="auto"/>
        <w:jc w:val="both"/>
        <w:rPr>
          <w:color w:val="000000"/>
          <w:lang w:val="et-EE"/>
        </w:rPr>
      </w:pPr>
    </w:p>
    <w:p w:rsidR="00924C20" w:rsidRPr="00710EF6" w:rsidRDefault="00924C20" w:rsidP="00710EF6">
      <w:pPr>
        <w:autoSpaceDE w:val="0"/>
        <w:autoSpaceDN w:val="0"/>
        <w:adjustRightInd w:val="0"/>
        <w:spacing w:line="276" w:lineRule="auto"/>
        <w:jc w:val="both"/>
        <w:rPr>
          <w:lang w:val="et-EE"/>
        </w:rPr>
      </w:pPr>
      <w:r w:rsidRPr="00710EF6">
        <w:rPr>
          <w:lang w:val="et-EE"/>
        </w:rPr>
        <w:t xml:space="preserve">Riigieelarve kontekstis käsitletakse investeeringutena lisaks materiaalse </w:t>
      </w:r>
      <w:r w:rsidR="00B1576C" w:rsidRPr="00710EF6">
        <w:rPr>
          <w:lang w:val="et-EE"/>
        </w:rPr>
        <w:t>ning</w:t>
      </w:r>
      <w:r w:rsidRPr="00710EF6">
        <w:rPr>
          <w:lang w:val="et-EE"/>
        </w:rPr>
        <w:t xml:space="preserve"> immateriaalse põhivara soetamiseks ja renoveerimiseks tehtavatele kuludele ka põhivara soetamiseks ja renoveerimiseks antavaid toetusi ning kaitseotstarbelist erivarustust. Investeeringutoetuste kogumahust suunatakse keskvalitsusse umbes 50%, erasektorisse 30% ja kohalikesse omavalitsustesse umbes 20%.</w:t>
      </w:r>
    </w:p>
    <w:p w:rsidR="00924C20" w:rsidRPr="00710EF6" w:rsidRDefault="00924C20" w:rsidP="00710EF6">
      <w:pPr>
        <w:autoSpaceDE w:val="0"/>
        <w:autoSpaceDN w:val="0"/>
        <w:adjustRightInd w:val="0"/>
        <w:spacing w:line="276" w:lineRule="auto"/>
        <w:jc w:val="both"/>
        <w:rPr>
          <w:lang w:val="et-EE"/>
        </w:rPr>
      </w:pPr>
    </w:p>
    <w:p w:rsidR="00924C20" w:rsidRPr="00710EF6" w:rsidRDefault="00924C20" w:rsidP="00710EF6">
      <w:pPr>
        <w:autoSpaceDE w:val="0"/>
        <w:autoSpaceDN w:val="0"/>
        <w:adjustRightInd w:val="0"/>
        <w:spacing w:line="276" w:lineRule="auto"/>
        <w:jc w:val="both"/>
        <w:rPr>
          <w:color w:val="000000"/>
          <w:lang w:val="et-EE"/>
        </w:rPr>
      </w:pPr>
      <w:r w:rsidRPr="00710EF6">
        <w:rPr>
          <w:color w:val="000000"/>
          <w:lang w:val="et-EE"/>
        </w:rPr>
        <w:t>Riigituludest planeeritavate investeeringute mahu kasv prognoosiperioodil on tingitud eelkõige Vabariigi Valitsuse otsustatud suuremahulistest projektidest nagu riigi strateegilise investeeringute programm</w:t>
      </w:r>
      <w:r w:rsidR="00B1576C" w:rsidRPr="00710EF6">
        <w:rPr>
          <w:color w:val="000000"/>
          <w:lang w:val="et-EE"/>
        </w:rPr>
        <w:t>i täitmine</w:t>
      </w:r>
      <w:r w:rsidRPr="00710EF6">
        <w:rPr>
          <w:color w:val="000000"/>
          <w:lang w:val="et-EE"/>
        </w:rPr>
        <w:t>, mille raames kavandab valitsus aastatel 2018-2022 Eesti konkurentsivõimet ja kaitsevõimet kasvatavaid investeeringuid kokku 355 m</w:t>
      </w:r>
      <w:r w:rsidR="00813292" w:rsidRPr="00710EF6">
        <w:rPr>
          <w:color w:val="000000"/>
          <w:lang w:val="et-EE"/>
        </w:rPr>
        <w:t>iljoni</w:t>
      </w:r>
      <w:r w:rsidR="00B1576C" w:rsidRPr="00710EF6">
        <w:rPr>
          <w:color w:val="000000"/>
          <w:lang w:val="et-EE"/>
        </w:rPr>
        <w:t xml:space="preserve"> euro</w:t>
      </w:r>
      <w:r w:rsidRPr="00710EF6">
        <w:rPr>
          <w:color w:val="000000"/>
          <w:lang w:val="et-EE"/>
        </w:rPr>
        <w:t xml:space="preserve"> ulatuses. Programmi raames: </w:t>
      </w:r>
    </w:p>
    <w:p w:rsidR="00813292" w:rsidRPr="00710EF6" w:rsidRDefault="00813292" w:rsidP="00710EF6">
      <w:pPr>
        <w:autoSpaceDE w:val="0"/>
        <w:autoSpaceDN w:val="0"/>
        <w:adjustRightInd w:val="0"/>
        <w:spacing w:line="276" w:lineRule="auto"/>
        <w:jc w:val="both"/>
        <w:rPr>
          <w:color w:val="000000"/>
          <w:lang w:val="et-EE"/>
        </w:rPr>
      </w:pPr>
    </w:p>
    <w:p w:rsidR="00924C20" w:rsidRPr="00710EF6" w:rsidRDefault="0060512F" w:rsidP="00710EF6">
      <w:pPr>
        <w:pStyle w:val="Loendilik"/>
        <w:numPr>
          <w:ilvl w:val="0"/>
          <w:numId w:val="5"/>
        </w:numPr>
        <w:autoSpaceDE w:val="0"/>
        <w:autoSpaceDN w:val="0"/>
        <w:adjustRightInd w:val="0"/>
        <w:spacing w:after="44"/>
        <w:jc w:val="both"/>
        <w:rPr>
          <w:color w:val="000000"/>
          <w:szCs w:val="24"/>
        </w:rPr>
      </w:pPr>
      <w:r w:rsidRPr="00710EF6">
        <w:rPr>
          <w:color w:val="000000"/>
          <w:szCs w:val="24"/>
        </w:rPr>
        <w:t>e</w:t>
      </w:r>
      <w:r w:rsidR="00924C20" w:rsidRPr="00710EF6">
        <w:rPr>
          <w:color w:val="000000"/>
          <w:szCs w:val="24"/>
        </w:rPr>
        <w:t xml:space="preserve">hitatakse välja lairiba jaotusvõrk koostöös riigi, kohalike omavalitsuste ja erasektoriga; </w:t>
      </w:r>
    </w:p>
    <w:p w:rsidR="00924C20" w:rsidRPr="00710EF6" w:rsidRDefault="0060512F" w:rsidP="00710EF6">
      <w:pPr>
        <w:pStyle w:val="Loendilik"/>
        <w:numPr>
          <w:ilvl w:val="0"/>
          <w:numId w:val="5"/>
        </w:numPr>
        <w:autoSpaceDE w:val="0"/>
        <w:autoSpaceDN w:val="0"/>
        <w:adjustRightInd w:val="0"/>
        <w:spacing w:after="44"/>
        <w:jc w:val="both"/>
        <w:rPr>
          <w:color w:val="000000"/>
          <w:szCs w:val="24"/>
        </w:rPr>
      </w:pPr>
      <w:r w:rsidRPr="00710EF6">
        <w:rPr>
          <w:color w:val="000000"/>
          <w:szCs w:val="24"/>
        </w:rPr>
        <w:t>l</w:t>
      </w:r>
      <w:r w:rsidR="00924C20" w:rsidRPr="00710EF6">
        <w:rPr>
          <w:color w:val="000000"/>
          <w:szCs w:val="24"/>
        </w:rPr>
        <w:t xml:space="preserve">uuakse meede kohalike omavalitsuste elamufondi investeeringute toetamiseks; </w:t>
      </w:r>
    </w:p>
    <w:p w:rsidR="00924C20" w:rsidRPr="00710EF6" w:rsidRDefault="0060512F" w:rsidP="00710EF6">
      <w:pPr>
        <w:pStyle w:val="Loendilik"/>
        <w:numPr>
          <w:ilvl w:val="0"/>
          <w:numId w:val="5"/>
        </w:numPr>
        <w:autoSpaceDE w:val="0"/>
        <w:autoSpaceDN w:val="0"/>
        <w:adjustRightInd w:val="0"/>
        <w:spacing w:after="44"/>
        <w:jc w:val="both"/>
        <w:rPr>
          <w:color w:val="000000"/>
          <w:szCs w:val="24"/>
        </w:rPr>
      </w:pPr>
      <w:r w:rsidRPr="00710EF6">
        <w:rPr>
          <w:color w:val="000000"/>
          <w:szCs w:val="24"/>
        </w:rPr>
        <w:t>t</w:t>
      </w:r>
      <w:r w:rsidR="00924C20" w:rsidRPr="00710EF6">
        <w:rPr>
          <w:color w:val="000000"/>
          <w:szCs w:val="24"/>
        </w:rPr>
        <w:t xml:space="preserve">ehakse suuremahulisi taristuinvesteeringuid teedesse; </w:t>
      </w:r>
    </w:p>
    <w:p w:rsidR="00924C20" w:rsidRPr="00710EF6" w:rsidRDefault="0060512F" w:rsidP="00710EF6">
      <w:pPr>
        <w:pStyle w:val="Loendilik"/>
        <w:numPr>
          <w:ilvl w:val="0"/>
          <w:numId w:val="5"/>
        </w:numPr>
        <w:autoSpaceDE w:val="0"/>
        <w:autoSpaceDN w:val="0"/>
        <w:adjustRightInd w:val="0"/>
        <w:spacing w:after="44"/>
        <w:jc w:val="both"/>
        <w:rPr>
          <w:color w:val="000000"/>
          <w:szCs w:val="24"/>
        </w:rPr>
      </w:pPr>
      <w:r w:rsidRPr="00710EF6">
        <w:rPr>
          <w:color w:val="000000"/>
          <w:szCs w:val="24"/>
        </w:rPr>
        <w:t>e</w:t>
      </w:r>
      <w:r w:rsidR="00924C20" w:rsidRPr="00710EF6">
        <w:rPr>
          <w:color w:val="000000"/>
          <w:szCs w:val="24"/>
        </w:rPr>
        <w:t xml:space="preserve">hitatakse koostöös Tallinna linnaga välja rahvusvaheline turismi- ja konverentsikeskus Tallinna Linnahallist; </w:t>
      </w:r>
    </w:p>
    <w:p w:rsidR="00924C20" w:rsidRPr="00710EF6" w:rsidRDefault="0060512F" w:rsidP="00710EF6">
      <w:pPr>
        <w:pStyle w:val="Loendilik"/>
        <w:numPr>
          <w:ilvl w:val="0"/>
          <w:numId w:val="5"/>
        </w:numPr>
        <w:autoSpaceDE w:val="0"/>
        <w:autoSpaceDN w:val="0"/>
        <w:adjustRightInd w:val="0"/>
        <w:jc w:val="both"/>
        <w:rPr>
          <w:color w:val="000000"/>
          <w:szCs w:val="24"/>
        </w:rPr>
      </w:pPr>
      <w:r w:rsidRPr="00710EF6">
        <w:rPr>
          <w:color w:val="000000"/>
          <w:szCs w:val="24"/>
        </w:rPr>
        <w:t>t</w:t>
      </w:r>
      <w:r w:rsidR="00924C20" w:rsidRPr="00710EF6">
        <w:rPr>
          <w:color w:val="000000"/>
          <w:szCs w:val="24"/>
        </w:rPr>
        <w:t xml:space="preserve">eostatakse kaitseinvesteeringute programm. </w:t>
      </w:r>
    </w:p>
    <w:p w:rsidR="00924C20" w:rsidRPr="00710EF6" w:rsidRDefault="00924C20" w:rsidP="00710EF6">
      <w:pPr>
        <w:autoSpaceDE w:val="0"/>
        <w:autoSpaceDN w:val="0"/>
        <w:adjustRightInd w:val="0"/>
        <w:spacing w:line="276" w:lineRule="auto"/>
        <w:jc w:val="both"/>
        <w:rPr>
          <w:color w:val="000000"/>
          <w:lang w:val="et-EE"/>
        </w:rPr>
      </w:pPr>
      <w:r w:rsidRPr="00710EF6">
        <w:rPr>
          <w:color w:val="000000"/>
          <w:lang w:val="et-EE"/>
        </w:rPr>
        <w:t xml:space="preserve">Ligikaudu pool investeeringute rahastamisest tuleb </w:t>
      </w:r>
      <w:r w:rsidRPr="00710EF6">
        <w:rPr>
          <w:color w:val="000000"/>
          <w:shd w:val="clear" w:color="auto" w:fill="FFFFFF" w:themeFill="background1"/>
          <w:lang w:val="et-EE"/>
        </w:rPr>
        <w:t>välisvahenditest, millest ca 80% suunatakse investeeringutoetustena erinevatesse sektoritesse. Välisvahenditest mahukamad investeeringud on seotud koolivõrgu korrastamise, korterelamute rekonstrueerimise, esmatasandi tervisekeskuste</w:t>
      </w:r>
      <w:r w:rsidR="003A0A95" w:rsidRPr="00710EF6">
        <w:rPr>
          <w:color w:val="000000"/>
          <w:shd w:val="clear" w:color="auto" w:fill="FFFFFF" w:themeFill="background1"/>
          <w:lang w:val="et-EE"/>
        </w:rPr>
        <w:t xml:space="preserve"> rajamise</w:t>
      </w:r>
      <w:r w:rsidRPr="00710EF6">
        <w:rPr>
          <w:color w:val="000000"/>
          <w:shd w:val="clear" w:color="auto" w:fill="FFFFFF" w:themeFill="background1"/>
          <w:lang w:val="et-EE"/>
        </w:rPr>
        <w:t xml:space="preserve"> ja transpordiga.</w:t>
      </w:r>
      <w:r w:rsidRPr="00710EF6">
        <w:rPr>
          <w:b/>
          <w:color w:val="000000"/>
          <w:shd w:val="clear" w:color="auto" w:fill="FFFFFF" w:themeFill="background1"/>
          <w:lang w:val="et-EE"/>
        </w:rPr>
        <w:t xml:space="preserve"> </w:t>
      </w:r>
      <w:r w:rsidRPr="00710EF6">
        <w:rPr>
          <w:color w:val="000000"/>
          <w:shd w:val="clear" w:color="auto" w:fill="FFFFFF" w:themeFill="background1"/>
          <w:lang w:val="et-EE"/>
        </w:rPr>
        <w:t>Kuigi rakendamisel on väljakutseteks jätkuvalt haldusreform</w:t>
      </w:r>
      <w:r w:rsidR="003A0A95" w:rsidRPr="00710EF6">
        <w:rPr>
          <w:color w:val="000000"/>
          <w:shd w:val="clear" w:color="auto" w:fill="FFFFFF" w:themeFill="background1"/>
          <w:lang w:val="et-EE"/>
        </w:rPr>
        <w:t>iga seonduv</w:t>
      </w:r>
      <w:r w:rsidRPr="00710EF6">
        <w:rPr>
          <w:color w:val="000000"/>
          <w:shd w:val="clear" w:color="auto" w:fill="FFFFFF" w:themeFill="background1"/>
          <w:lang w:val="et-EE"/>
        </w:rPr>
        <w:t xml:space="preserve"> ja ehitushindade tõus, mis mõjutavad oluliselt hangete läbiviimist, siis</w:t>
      </w:r>
      <w:r w:rsidRPr="00710EF6">
        <w:rPr>
          <w:color w:val="000000"/>
          <w:lang w:val="et-EE"/>
        </w:rPr>
        <w:t xml:space="preserve"> viiakse investeeringuid lähiaastatel ellu kasvavas mahus.</w:t>
      </w:r>
    </w:p>
    <w:p w:rsidR="00924C20" w:rsidRPr="00710EF6" w:rsidRDefault="00B7299D" w:rsidP="00710EF6">
      <w:pPr>
        <w:pStyle w:val="Pealkiri2"/>
        <w:spacing w:line="276" w:lineRule="auto"/>
        <w:rPr>
          <w:rFonts w:ascii="Times New Roman" w:hAnsi="Times New Roman" w:cs="Times New Roman"/>
          <w:color w:val="auto"/>
          <w:sz w:val="24"/>
          <w:szCs w:val="24"/>
          <w:lang w:val="et-EE"/>
        </w:rPr>
      </w:pPr>
      <w:bookmarkStart w:id="8" w:name="_Toc521395294"/>
      <w:r w:rsidRPr="00710EF6">
        <w:rPr>
          <w:rFonts w:ascii="Times New Roman" w:hAnsi="Times New Roman" w:cs="Times New Roman"/>
          <w:color w:val="auto"/>
          <w:sz w:val="24"/>
          <w:szCs w:val="24"/>
          <w:lang w:val="et-EE"/>
        </w:rPr>
        <w:t>1</w:t>
      </w:r>
      <w:r w:rsidR="00813292" w:rsidRPr="00710EF6">
        <w:rPr>
          <w:rFonts w:ascii="Times New Roman" w:hAnsi="Times New Roman" w:cs="Times New Roman"/>
          <w:color w:val="auto"/>
          <w:sz w:val="24"/>
          <w:szCs w:val="24"/>
          <w:lang w:val="et-EE"/>
        </w:rPr>
        <w:t>.5</w:t>
      </w:r>
      <w:r w:rsidR="00D06485">
        <w:rPr>
          <w:rFonts w:ascii="Times New Roman" w:hAnsi="Times New Roman" w:cs="Times New Roman"/>
          <w:color w:val="auto"/>
          <w:sz w:val="24"/>
          <w:szCs w:val="24"/>
          <w:lang w:val="et-EE"/>
        </w:rPr>
        <w:t>.</w:t>
      </w:r>
      <w:r w:rsidR="00813292" w:rsidRPr="00710EF6">
        <w:rPr>
          <w:rFonts w:ascii="Times New Roman" w:hAnsi="Times New Roman" w:cs="Times New Roman"/>
          <w:color w:val="auto"/>
          <w:sz w:val="24"/>
          <w:szCs w:val="24"/>
          <w:lang w:val="et-EE"/>
        </w:rPr>
        <w:t xml:space="preserve"> </w:t>
      </w:r>
      <w:r w:rsidR="00924C20" w:rsidRPr="00710EF6">
        <w:rPr>
          <w:rFonts w:ascii="Times New Roman" w:hAnsi="Times New Roman" w:cs="Times New Roman"/>
          <w:color w:val="auto"/>
          <w:sz w:val="24"/>
          <w:szCs w:val="24"/>
          <w:lang w:val="et-EE"/>
        </w:rPr>
        <w:t>Ministeeriumite peamised strateegilised eesmärgid</w:t>
      </w:r>
      <w:bookmarkEnd w:id="8"/>
    </w:p>
    <w:p w:rsidR="00813292" w:rsidRPr="00710EF6" w:rsidRDefault="00813292" w:rsidP="00710EF6">
      <w:pPr>
        <w:spacing w:line="276" w:lineRule="auto"/>
        <w:rPr>
          <w:b/>
          <w:lang w:val="et-EE"/>
        </w:rPr>
      </w:pPr>
    </w:p>
    <w:p w:rsidR="003A0A95" w:rsidRPr="00710EF6" w:rsidRDefault="003A0A95" w:rsidP="00710EF6">
      <w:pPr>
        <w:spacing w:line="276" w:lineRule="auto"/>
        <w:jc w:val="both"/>
        <w:rPr>
          <w:lang w:val="et-EE"/>
        </w:rPr>
      </w:pPr>
      <w:r w:rsidRPr="00710EF6">
        <w:rPr>
          <w:lang w:val="et-EE"/>
        </w:rPr>
        <w:t>Ministeeriumite strateegilistest eesmärkidest, mis puudutavad oluliselt kohalike omavalitsuste arengut, saab ministeeriumite lõikes tuua välja järgmist.</w:t>
      </w:r>
    </w:p>
    <w:p w:rsidR="003A0A95" w:rsidRPr="00710EF6" w:rsidRDefault="003A0A95" w:rsidP="00710EF6">
      <w:pPr>
        <w:spacing w:line="276" w:lineRule="auto"/>
        <w:jc w:val="both"/>
        <w:rPr>
          <w:b/>
          <w:lang w:val="et-EE"/>
        </w:rPr>
      </w:pPr>
    </w:p>
    <w:p w:rsidR="00924C20" w:rsidRPr="00710EF6" w:rsidRDefault="00924C20" w:rsidP="00710EF6">
      <w:pPr>
        <w:spacing w:line="276" w:lineRule="auto"/>
        <w:jc w:val="both"/>
        <w:rPr>
          <w:lang w:val="et-EE"/>
        </w:rPr>
      </w:pPr>
      <w:r w:rsidRPr="00710EF6">
        <w:rPr>
          <w:lang w:val="et-EE"/>
        </w:rPr>
        <w:t>Haridus- ja teadusministeerium</w:t>
      </w:r>
      <w:r w:rsidR="003A0A95" w:rsidRPr="00710EF6">
        <w:rPr>
          <w:lang w:val="et-EE"/>
        </w:rPr>
        <w:t>:</w:t>
      </w:r>
      <w:r w:rsidR="00F7097C" w:rsidRPr="00710EF6">
        <w:rPr>
          <w:lang w:val="et-EE"/>
        </w:rPr>
        <w:t xml:space="preserve"> </w:t>
      </w:r>
      <w:r w:rsidRPr="00710EF6">
        <w:rPr>
          <w:lang w:val="et-EE"/>
        </w:rPr>
        <w:t>2019</w:t>
      </w:r>
      <w:r w:rsidR="00F7097C" w:rsidRPr="00710EF6">
        <w:rPr>
          <w:lang w:val="et-EE"/>
        </w:rPr>
        <w:t>. aastal</w:t>
      </w:r>
      <w:r w:rsidRPr="00710EF6">
        <w:rPr>
          <w:lang w:val="et-EE"/>
        </w:rPr>
        <w:t xml:space="preserve"> on õpetajate palgatõusuks ette</w:t>
      </w:r>
      <w:r w:rsidR="003A0A95" w:rsidRPr="00710EF6">
        <w:rPr>
          <w:lang w:val="et-EE"/>
        </w:rPr>
        <w:t xml:space="preserve"> </w:t>
      </w:r>
      <w:r w:rsidRPr="00710EF6">
        <w:rPr>
          <w:lang w:val="et-EE"/>
        </w:rPr>
        <w:t xml:space="preserve">nähtud 10 </w:t>
      </w:r>
      <w:r w:rsidR="003A0A95" w:rsidRPr="00710EF6">
        <w:rPr>
          <w:lang w:val="et-EE"/>
        </w:rPr>
        <w:t>miljonit eurot</w:t>
      </w:r>
      <w:r w:rsidR="00FA5E0C">
        <w:rPr>
          <w:lang w:val="et-EE"/>
        </w:rPr>
        <w:t>, 2019-</w:t>
      </w:r>
      <w:r w:rsidRPr="00710EF6">
        <w:rPr>
          <w:lang w:val="et-EE"/>
        </w:rPr>
        <w:t xml:space="preserve">2022 kokku 40 </w:t>
      </w:r>
      <w:r w:rsidR="003A0A95" w:rsidRPr="00710EF6">
        <w:rPr>
          <w:lang w:val="et-EE"/>
        </w:rPr>
        <w:t>miljonit eurot.</w:t>
      </w:r>
    </w:p>
    <w:p w:rsidR="00F7097C" w:rsidRPr="00710EF6" w:rsidRDefault="00F7097C" w:rsidP="00710EF6">
      <w:pPr>
        <w:spacing w:line="276" w:lineRule="auto"/>
        <w:jc w:val="both"/>
        <w:rPr>
          <w:lang w:val="et-EE"/>
        </w:rPr>
      </w:pPr>
    </w:p>
    <w:p w:rsidR="00924C20" w:rsidRPr="00710EF6" w:rsidRDefault="00924C20" w:rsidP="00710EF6">
      <w:pPr>
        <w:spacing w:line="276" w:lineRule="auto"/>
        <w:jc w:val="both"/>
        <w:rPr>
          <w:lang w:val="et-EE"/>
        </w:rPr>
      </w:pPr>
      <w:r w:rsidRPr="00710EF6">
        <w:rPr>
          <w:lang w:val="et-EE"/>
        </w:rPr>
        <w:t>Keskkonnaministeerium</w:t>
      </w:r>
      <w:r w:rsidR="003A0A95" w:rsidRPr="00710EF6">
        <w:rPr>
          <w:lang w:val="et-EE"/>
        </w:rPr>
        <w:t>:</w:t>
      </w:r>
      <w:r w:rsidR="00F7097C" w:rsidRPr="00710EF6">
        <w:rPr>
          <w:lang w:val="et-EE"/>
        </w:rPr>
        <w:t xml:space="preserve"> i</w:t>
      </w:r>
      <w:r w:rsidRPr="00710EF6">
        <w:rPr>
          <w:lang w:val="et-EE"/>
        </w:rPr>
        <w:t>nvesteeringud innovaatilistesse tehnoloogiatesse on aastatel 2019-2022 ligi 100 miljonit eurot</w:t>
      </w:r>
      <w:r w:rsidR="003A0A95" w:rsidRPr="00710EF6">
        <w:rPr>
          <w:lang w:val="et-EE"/>
        </w:rPr>
        <w:t>.</w:t>
      </w:r>
    </w:p>
    <w:p w:rsidR="00F7097C" w:rsidRPr="00710EF6" w:rsidRDefault="00F7097C" w:rsidP="00710EF6">
      <w:pPr>
        <w:spacing w:line="276" w:lineRule="auto"/>
        <w:jc w:val="both"/>
        <w:rPr>
          <w:lang w:val="et-EE"/>
        </w:rPr>
      </w:pPr>
    </w:p>
    <w:p w:rsidR="00924C20" w:rsidRPr="00710EF6" w:rsidRDefault="00924C20" w:rsidP="00710EF6">
      <w:pPr>
        <w:spacing w:line="276" w:lineRule="auto"/>
        <w:jc w:val="both"/>
        <w:rPr>
          <w:color w:val="000000"/>
          <w:lang w:val="et-EE"/>
        </w:rPr>
      </w:pPr>
      <w:r w:rsidRPr="00710EF6">
        <w:rPr>
          <w:lang w:val="et-EE"/>
        </w:rPr>
        <w:t>Majandus- ja kommunikatsiooniministeerium</w:t>
      </w:r>
      <w:r w:rsidR="003A0A95" w:rsidRPr="00710EF6">
        <w:rPr>
          <w:lang w:val="et-EE"/>
        </w:rPr>
        <w:t>:</w:t>
      </w:r>
      <w:r w:rsidR="00F7097C" w:rsidRPr="00710EF6">
        <w:rPr>
          <w:lang w:val="et-EE"/>
        </w:rPr>
        <w:t xml:space="preserve"> k</w:t>
      </w:r>
      <w:r w:rsidRPr="00710EF6">
        <w:rPr>
          <w:color w:val="000000"/>
          <w:lang w:val="et-EE"/>
        </w:rPr>
        <w:t>orterelamute rekonstrueerimine</w:t>
      </w:r>
      <w:r w:rsidR="00F7097C" w:rsidRPr="00710EF6">
        <w:rPr>
          <w:color w:val="000000"/>
          <w:lang w:val="et-EE"/>
        </w:rPr>
        <w:t xml:space="preserve"> </w:t>
      </w:r>
      <w:r w:rsidRPr="00710EF6">
        <w:rPr>
          <w:color w:val="000000"/>
          <w:lang w:val="et-EE"/>
        </w:rPr>
        <w:t>100 miljonit eurot</w:t>
      </w:r>
      <w:r w:rsidR="00F7097C" w:rsidRPr="00710EF6">
        <w:rPr>
          <w:color w:val="000000"/>
          <w:lang w:val="et-EE"/>
        </w:rPr>
        <w:t xml:space="preserve"> ja ü</w:t>
      </w:r>
      <w:r w:rsidRPr="00710EF6">
        <w:rPr>
          <w:color w:val="000000"/>
          <w:lang w:val="et-EE"/>
        </w:rPr>
        <w:t>histranspordi dotatsioon kasvab ligi 100 miljoni euroni</w:t>
      </w:r>
      <w:r w:rsidR="003A0A95" w:rsidRPr="00710EF6">
        <w:rPr>
          <w:color w:val="000000"/>
          <w:lang w:val="et-EE"/>
        </w:rPr>
        <w:t>.</w:t>
      </w:r>
    </w:p>
    <w:p w:rsidR="003A0A95" w:rsidRPr="00710EF6" w:rsidRDefault="003A0A95" w:rsidP="00710EF6">
      <w:pPr>
        <w:spacing w:line="276" w:lineRule="auto"/>
        <w:jc w:val="both"/>
        <w:rPr>
          <w:lang w:val="et-EE"/>
        </w:rPr>
      </w:pPr>
    </w:p>
    <w:p w:rsidR="00924C20" w:rsidRPr="00710EF6" w:rsidRDefault="00924C20" w:rsidP="00710EF6">
      <w:pPr>
        <w:spacing w:line="276" w:lineRule="auto"/>
        <w:jc w:val="both"/>
        <w:rPr>
          <w:lang w:val="et-EE"/>
        </w:rPr>
      </w:pPr>
      <w:r w:rsidRPr="00710EF6">
        <w:rPr>
          <w:lang w:val="et-EE"/>
        </w:rPr>
        <w:t>Rahandusministeerium</w:t>
      </w:r>
      <w:r w:rsidR="003A0A95" w:rsidRPr="00710EF6">
        <w:rPr>
          <w:lang w:val="et-EE"/>
        </w:rPr>
        <w:t>:</w:t>
      </w:r>
      <w:r w:rsidR="00F7097C" w:rsidRPr="00710EF6">
        <w:rPr>
          <w:lang w:val="et-EE"/>
        </w:rPr>
        <w:t xml:space="preserve"> k</w:t>
      </w:r>
      <w:r w:rsidRPr="00710EF6">
        <w:rPr>
          <w:lang w:val="et-EE"/>
        </w:rPr>
        <w:t>ohalike omavalitsuste tulubaas kasvab</w:t>
      </w:r>
      <w:r w:rsidR="00F7097C" w:rsidRPr="00710EF6">
        <w:rPr>
          <w:lang w:val="et-EE"/>
        </w:rPr>
        <w:t xml:space="preserve"> ja r</w:t>
      </w:r>
      <w:r w:rsidRPr="00710EF6">
        <w:rPr>
          <w:lang w:val="et-EE"/>
        </w:rPr>
        <w:t>egionaalsed toetusprogrammid elavdavad kohalik</w:t>
      </w:r>
      <w:r w:rsidR="003A0A95" w:rsidRPr="00710EF6">
        <w:rPr>
          <w:lang w:val="et-EE"/>
        </w:rPr>
        <w:t>k</w:t>
      </w:r>
      <w:r w:rsidRPr="00710EF6">
        <w:rPr>
          <w:lang w:val="et-EE"/>
        </w:rPr>
        <w:t>u majandust ja suurendavad sissetulekuid</w:t>
      </w:r>
      <w:r w:rsidR="003A0A95" w:rsidRPr="00710EF6">
        <w:rPr>
          <w:lang w:val="et-EE"/>
        </w:rPr>
        <w:t>.</w:t>
      </w:r>
    </w:p>
    <w:p w:rsidR="00F7097C" w:rsidRPr="00710EF6" w:rsidRDefault="00F7097C" w:rsidP="00710EF6">
      <w:pPr>
        <w:spacing w:line="276" w:lineRule="auto"/>
        <w:jc w:val="both"/>
        <w:rPr>
          <w:lang w:val="et-EE"/>
        </w:rPr>
      </w:pPr>
    </w:p>
    <w:p w:rsidR="00924C20" w:rsidRPr="00710EF6" w:rsidRDefault="00924C20" w:rsidP="00710EF6">
      <w:pPr>
        <w:spacing w:line="276" w:lineRule="auto"/>
        <w:jc w:val="both"/>
        <w:rPr>
          <w:lang w:val="et-EE"/>
        </w:rPr>
      </w:pPr>
      <w:r w:rsidRPr="00710EF6">
        <w:rPr>
          <w:lang w:val="et-EE"/>
        </w:rPr>
        <w:t>Siseministeerium</w:t>
      </w:r>
      <w:r w:rsidR="00F7097C" w:rsidRPr="00710EF6">
        <w:rPr>
          <w:lang w:val="et-EE"/>
        </w:rPr>
        <w:t>: p</w:t>
      </w:r>
      <w:r w:rsidRPr="00710EF6">
        <w:rPr>
          <w:lang w:val="et-EE"/>
        </w:rPr>
        <w:t>äästjate palk kasvab 20% ja politseinike palk 10%</w:t>
      </w:r>
      <w:r w:rsidR="003A0A95" w:rsidRPr="00710EF6">
        <w:rPr>
          <w:lang w:val="et-EE"/>
        </w:rPr>
        <w:t>.</w:t>
      </w:r>
    </w:p>
    <w:p w:rsidR="00F7097C" w:rsidRPr="00710EF6" w:rsidRDefault="00F7097C" w:rsidP="00710EF6">
      <w:pPr>
        <w:spacing w:line="276" w:lineRule="auto"/>
        <w:jc w:val="both"/>
        <w:rPr>
          <w:lang w:val="et-EE"/>
        </w:rPr>
      </w:pPr>
    </w:p>
    <w:p w:rsidR="00924C20" w:rsidRPr="00710EF6" w:rsidRDefault="00924C20" w:rsidP="00710EF6">
      <w:pPr>
        <w:spacing w:line="276" w:lineRule="auto"/>
        <w:jc w:val="both"/>
        <w:rPr>
          <w:color w:val="000000"/>
          <w:lang w:val="et-EE"/>
        </w:rPr>
      </w:pPr>
      <w:r w:rsidRPr="00710EF6">
        <w:rPr>
          <w:lang w:val="et-EE"/>
        </w:rPr>
        <w:t>Sotsiaalministeerium</w:t>
      </w:r>
      <w:r w:rsidR="00F7097C" w:rsidRPr="00710EF6">
        <w:rPr>
          <w:lang w:val="et-EE"/>
        </w:rPr>
        <w:t>: r</w:t>
      </w:r>
      <w:r w:rsidR="00540074" w:rsidRPr="00710EF6">
        <w:rPr>
          <w:color w:val="000000"/>
          <w:lang w:val="et-EE"/>
        </w:rPr>
        <w:t xml:space="preserve">iik suurendab HIV-ennetustöö </w:t>
      </w:r>
      <w:r w:rsidRPr="00710EF6">
        <w:rPr>
          <w:color w:val="000000"/>
          <w:lang w:val="et-EE"/>
        </w:rPr>
        <w:t>rahastust ja parandab ravi kättesaadavust, laste ja perede programmid saavad riikliku püsirahastuse ning tagatakse abivahendite kättesaadavus abivajajatele.</w:t>
      </w:r>
    </w:p>
    <w:p w:rsidR="00924C20" w:rsidRPr="00710EF6" w:rsidRDefault="00B7299D" w:rsidP="00710EF6">
      <w:pPr>
        <w:pStyle w:val="Pealkiri2"/>
        <w:spacing w:line="276" w:lineRule="auto"/>
        <w:jc w:val="both"/>
        <w:rPr>
          <w:rFonts w:ascii="Times New Roman" w:hAnsi="Times New Roman" w:cs="Times New Roman"/>
          <w:color w:val="auto"/>
          <w:sz w:val="24"/>
          <w:szCs w:val="24"/>
          <w:lang w:val="et-EE"/>
        </w:rPr>
      </w:pPr>
      <w:bookmarkStart w:id="9" w:name="_Toc521395295"/>
      <w:r w:rsidRPr="00710EF6">
        <w:rPr>
          <w:rFonts w:ascii="Times New Roman" w:hAnsi="Times New Roman" w:cs="Times New Roman"/>
          <w:color w:val="auto"/>
          <w:sz w:val="24"/>
          <w:szCs w:val="24"/>
          <w:lang w:val="et-EE"/>
        </w:rPr>
        <w:t>1</w:t>
      </w:r>
      <w:r w:rsidR="00813292" w:rsidRPr="00710EF6">
        <w:rPr>
          <w:rFonts w:ascii="Times New Roman" w:hAnsi="Times New Roman" w:cs="Times New Roman"/>
          <w:color w:val="auto"/>
          <w:sz w:val="24"/>
          <w:szCs w:val="24"/>
          <w:lang w:val="et-EE"/>
        </w:rPr>
        <w:t>.6</w:t>
      </w:r>
      <w:r w:rsidR="00D06485">
        <w:rPr>
          <w:rFonts w:ascii="Times New Roman" w:hAnsi="Times New Roman" w:cs="Times New Roman"/>
          <w:color w:val="auto"/>
          <w:sz w:val="24"/>
          <w:szCs w:val="24"/>
          <w:lang w:val="et-EE"/>
        </w:rPr>
        <w:t>.</w:t>
      </w:r>
      <w:r w:rsidR="00813292" w:rsidRPr="00710EF6">
        <w:rPr>
          <w:rFonts w:ascii="Times New Roman" w:hAnsi="Times New Roman" w:cs="Times New Roman"/>
          <w:color w:val="auto"/>
          <w:sz w:val="24"/>
          <w:szCs w:val="24"/>
          <w:lang w:val="et-EE"/>
        </w:rPr>
        <w:t xml:space="preserve"> </w:t>
      </w:r>
      <w:r w:rsidR="00924C20" w:rsidRPr="00710EF6">
        <w:rPr>
          <w:rFonts w:ascii="Times New Roman" w:hAnsi="Times New Roman" w:cs="Times New Roman"/>
          <w:color w:val="auto"/>
          <w:sz w:val="24"/>
          <w:szCs w:val="24"/>
          <w:lang w:val="et-EE"/>
        </w:rPr>
        <w:t>K</w:t>
      </w:r>
      <w:r w:rsidR="00813292" w:rsidRPr="00710EF6">
        <w:rPr>
          <w:rFonts w:ascii="Times New Roman" w:hAnsi="Times New Roman" w:cs="Times New Roman"/>
          <w:color w:val="auto"/>
          <w:sz w:val="24"/>
          <w:szCs w:val="24"/>
          <w:lang w:val="et-EE"/>
        </w:rPr>
        <w:t>ohalike omavalitsustega seotud muutused rahastamises</w:t>
      </w:r>
      <w:bookmarkEnd w:id="9"/>
    </w:p>
    <w:p w:rsidR="00924C20" w:rsidRPr="00710EF6" w:rsidRDefault="00924C20" w:rsidP="00710EF6">
      <w:pPr>
        <w:autoSpaceDE w:val="0"/>
        <w:autoSpaceDN w:val="0"/>
        <w:adjustRightInd w:val="0"/>
        <w:spacing w:line="276" w:lineRule="auto"/>
        <w:jc w:val="both"/>
        <w:rPr>
          <w:color w:val="000000"/>
          <w:lang w:val="et-EE"/>
        </w:rPr>
      </w:pPr>
    </w:p>
    <w:p w:rsidR="00924C20" w:rsidRPr="00710EF6" w:rsidRDefault="00924C20" w:rsidP="00710EF6">
      <w:pPr>
        <w:autoSpaceDE w:val="0"/>
        <w:autoSpaceDN w:val="0"/>
        <w:adjustRightInd w:val="0"/>
        <w:spacing w:line="276" w:lineRule="auto"/>
        <w:jc w:val="both"/>
        <w:rPr>
          <w:color w:val="000000"/>
          <w:lang w:val="et-EE"/>
        </w:rPr>
      </w:pPr>
      <w:r w:rsidRPr="00710EF6">
        <w:rPr>
          <w:color w:val="000000"/>
          <w:lang w:val="et-EE"/>
        </w:rPr>
        <w:lastRenderedPageBreak/>
        <w:t>Kohalikud omavalitsused</w:t>
      </w:r>
      <w:r w:rsidR="003A0A95" w:rsidRPr="00710EF6">
        <w:rPr>
          <w:color w:val="000000"/>
          <w:lang w:val="et-EE"/>
        </w:rPr>
        <w:t xml:space="preserve"> - </w:t>
      </w:r>
      <w:r w:rsidRPr="00710EF6">
        <w:rPr>
          <w:color w:val="000000"/>
          <w:lang w:val="et-EE"/>
        </w:rPr>
        <w:t xml:space="preserve">79 </w:t>
      </w:r>
      <w:r w:rsidR="003A0A95" w:rsidRPr="00710EF6">
        <w:rPr>
          <w:color w:val="000000"/>
          <w:lang w:val="et-EE"/>
        </w:rPr>
        <w:t>linna ja valda -</w:t>
      </w:r>
      <w:r w:rsidRPr="00710EF6">
        <w:rPr>
          <w:color w:val="000000"/>
          <w:lang w:val="et-EE"/>
        </w:rPr>
        <w:t xml:space="preserve"> täidavad olulist rolli avaliku sektori ülesannete täitmisel. Olenemata suurusest täidavad </w:t>
      </w:r>
      <w:r w:rsidR="003A0A95" w:rsidRPr="00710EF6">
        <w:rPr>
          <w:color w:val="000000"/>
          <w:lang w:val="et-EE"/>
        </w:rPr>
        <w:t>kõik omavalitsused</w:t>
      </w:r>
      <w:r w:rsidRPr="00710EF6">
        <w:rPr>
          <w:color w:val="000000"/>
          <w:lang w:val="et-EE"/>
        </w:rPr>
        <w:t xml:space="preserve"> samu ülesandeid. Üldvalitsemine hõlmab linna- ja vallavalitsuse ning volikogu ülalpidamiskulusid. Majanduskulud (sh elamu- ja </w:t>
      </w:r>
      <w:r w:rsidRPr="00710EF6">
        <w:rPr>
          <w:lang w:val="et-EE"/>
        </w:rPr>
        <w:t>kommunaalmajandus) koosnevad peamiselt valla- või linnasisesest ühistranspordist, valla teede ja linnatänavate korrashoiust, veevarustuse korraldamisest ning tänavavalgustusest. Sotsiaalse kaitse all tagatakse hooldekodude ülalpidamine, sotsiaalabi ja –teenuste osutamine ning perede sotsiaalne kaitse. Koolide ja lasteaedade ülalpidamine kuulub haridusvaldkonna alla. Vaba aeg, kultuur ja religioon hõlmab huvikoolide, kultuurimajade, raamatukogude, muuseumide ja spordirajatiste ülalpidamist ning noorsootööd. Ülejäänud valdkonnad moodustavad kohaliku omavalitsuse üksuste väljaminekutest väiksema osa – sinna hulka kuuluvad tegevustest nt heakord ning jäätmehoolduse ja heitveekäitluse korraldamine. Kokku ulatus nende väljaminekute maht konsolideeritult tekkepõhiselt 2017. aastal esialgsetel andmetel 1968 m</w:t>
      </w:r>
      <w:r w:rsidR="008222E0" w:rsidRPr="00710EF6">
        <w:rPr>
          <w:lang w:val="et-EE"/>
        </w:rPr>
        <w:t>iljoni</w:t>
      </w:r>
      <w:r w:rsidRPr="00710EF6">
        <w:rPr>
          <w:lang w:val="et-EE"/>
        </w:rPr>
        <w:t xml:space="preserve"> euroni</w:t>
      </w:r>
      <w:r w:rsidR="008222E0" w:rsidRPr="00710EF6">
        <w:rPr>
          <w:lang w:val="et-EE"/>
        </w:rPr>
        <w:t xml:space="preserve">, </w:t>
      </w:r>
      <w:r w:rsidRPr="00710EF6">
        <w:rPr>
          <w:lang w:val="et-EE"/>
        </w:rPr>
        <w:t>sh 87 m</w:t>
      </w:r>
      <w:r w:rsidR="008222E0" w:rsidRPr="00710EF6">
        <w:rPr>
          <w:lang w:val="et-EE"/>
        </w:rPr>
        <w:t>iljonit</w:t>
      </w:r>
      <w:r w:rsidRPr="00710EF6">
        <w:rPr>
          <w:lang w:val="et-EE"/>
        </w:rPr>
        <w:t xml:space="preserve"> eurot kohustuste tasumine. </w:t>
      </w:r>
      <w:r w:rsidR="008222E0" w:rsidRPr="00710EF6">
        <w:rPr>
          <w:lang w:val="et-EE"/>
        </w:rPr>
        <w:t>Väljaminekutest</w:t>
      </w:r>
      <w:r w:rsidRPr="00710EF6">
        <w:rPr>
          <w:lang w:val="et-EE"/>
        </w:rPr>
        <w:t xml:space="preserve"> 64% moodustasid tööjõu- ja majandamiskulud.</w:t>
      </w:r>
    </w:p>
    <w:p w:rsidR="00924C20" w:rsidRPr="00710EF6" w:rsidRDefault="00924C20" w:rsidP="00710EF6">
      <w:pPr>
        <w:autoSpaceDE w:val="0"/>
        <w:autoSpaceDN w:val="0"/>
        <w:adjustRightInd w:val="0"/>
        <w:spacing w:line="276" w:lineRule="auto"/>
        <w:jc w:val="both"/>
        <w:rPr>
          <w:lang w:val="et-EE"/>
        </w:rPr>
      </w:pPr>
    </w:p>
    <w:p w:rsidR="00924C20" w:rsidRPr="00710EF6" w:rsidRDefault="00924C20" w:rsidP="00710EF6">
      <w:pPr>
        <w:autoSpaceDE w:val="0"/>
        <w:autoSpaceDN w:val="0"/>
        <w:adjustRightInd w:val="0"/>
        <w:spacing w:line="276" w:lineRule="auto"/>
        <w:jc w:val="both"/>
        <w:rPr>
          <w:lang w:val="et-EE"/>
        </w:rPr>
      </w:pPr>
      <w:r w:rsidRPr="00710EF6">
        <w:rPr>
          <w:lang w:val="et-EE"/>
        </w:rPr>
        <w:t>K</w:t>
      </w:r>
      <w:r w:rsidR="008222E0" w:rsidRPr="00710EF6">
        <w:rPr>
          <w:lang w:val="et-EE"/>
        </w:rPr>
        <w:t>ohalike omavalitsuste</w:t>
      </w:r>
      <w:r w:rsidRPr="00710EF6">
        <w:rPr>
          <w:lang w:val="et-EE"/>
        </w:rPr>
        <w:t xml:space="preserve"> eelarved on iseseisvad ehk nad otsustavad ise nende koostamise üle. Riigieelarvest edasikantavate maksutulude (tulumaks ja maamaks) ning tasandus- ja toetusfondi ühtne eesmärk on tagada </w:t>
      </w:r>
      <w:r w:rsidR="008222E0" w:rsidRPr="00710EF6">
        <w:rPr>
          <w:lang w:val="et-EE"/>
        </w:rPr>
        <w:t>omavalitsustele</w:t>
      </w:r>
      <w:r w:rsidRPr="00710EF6">
        <w:rPr>
          <w:lang w:val="et-EE"/>
        </w:rPr>
        <w:t xml:space="preserve"> piisavad vahendid kohalike elu küsimuste üle iseseisvalt seaduste alusel otsustamiseks. Tasandusfond on mõeldud nende eelarveliste võimaluste ühtlustamiseks. Toetusfond koosneb valdkondlikest toetusliikidest, võimaldades maksta õpetajatele töötasu, korraldada koolis toitlustamist, maksta toimetulekutoetust ning hooldada kohalike teid. Lisaks on </w:t>
      </w:r>
      <w:r w:rsidR="008222E0" w:rsidRPr="00710EF6">
        <w:rPr>
          <w:lang w:val="et-EE"/>
        </w:rPr>
        <w:t>omavalitsustel</w:t>
      </w:r>
      <w:r w:rsidRPr="00710EF6">
        <w:rPr>
          <w:lang w:val="et-EE"/>
        </w:rPr>
        <w:t xml:space="preserve"> võimalus taotleda projektitoetust mitmest meetmest. Muud omatulud hõlmavad peamiselt laekumisi keskkonnatasudest või kaupade- ja teenuste müügist.</w:t>
      </w:r>
    </w:p>
    <w:p w:rsidR="00924C20" w:rsidRPr="004F0C43" w:rsidRDefault="00924C20" w:rsidP="00924C20">
      <w:pPr>
        <w:autoSpaceDE w:val="0"/>
        <w:autoSpaceDN w:val="0"/>
        <w:adjustRightInd w:val="0"/>
        <w:rPr>
          <w:rFonts w:ascii="Trebuchet MS" w:hAnsi="Trebuchet MS"/>
          <w:b/>
          <w:sz w:val="22"/>
          <w:szCs w:val="22"/>
          <w:lang w:val="et-EE"/>
        </w:rPr>
      </w:pPr>
    </w:p>
    <w:tbl>
      <w:tblPr>
        <w:tblW w:w="9160" w:type="dxa"/>
        <w:tblCellMar>
          <w:left w:w="70" w:type="dxa"/>
          <w:right w:w="70" w:type="dxa"/>
        </w:tblCellMar>
        <w:tblLook w:val="04A0" w:firstRow="1" w:lastRow="0" w:firstColumn="1" w:lastColumn="0" w:noHBand="0" w:noVBand="1"/>
      </w:tblPr>
      <w:tblGrid>
        <w:gridCol w:w="2542"/>
        <w:gridCol w:w="1218"/>
        <w:gridCol w:w="810"/>
        <w:gridCol w:w="1080"/>
        <w:gridCol w:w="1170"/>
        <w:gridCol w:w="1170"/>
        <w:gridCol w:w="1170"/>
      </w:tblGrid>
      <w:tr w:rsidR="00924C20" w:rsidRPr="00710EF6" w:rsidTr="00341EE2">
        <w:trPr>
          <w:trHeight w:val="330"/>
        </w:trPr>
        <w:tc>
          <w:tcPr>
            <w:tcW w:w="2542" w:type="dxa"/>
            <w:tcBorders>
              <w:top w:val="single" w:sz="8" w:space="0" w:color="auto"/>
              <w:left w:val="single" w:sz="8" w:space="0" w:color="auto"/>
              <w:bottom w:val="single" w:sz="8" w:space="0" w:color="auto"/>
              <w:right w:val="single" w:sz="4" w:space="0" w:color="auto"/>
            </w:tcBorders>
            <w:shd w:val="clear" w:color="auto" w:fill="D6E3BC" w:themeFill="accent3" w:themeFillTint="66"/>
            <w:noWrap/>
            <w:vAlign w:val="bottom"/>
            <w:hideMark/>
          </w:tcPr>
          <w:p w:rsidR="00924C20" w:rsidRPr="00710EF6" w:rsidRDefault="00924C20" w:rsidP="00D72106">
            <w:pPr>
              <w:rPr>
                <w:b/>
                <w:sz w:val="20"/>
                <w:szCs w:val="20"/>
                <w:lang w:val="et-EE" w:eastAsia="et-EE"/>
              </w:rPr>
            </w:pPr>
            <w:r w:rsidRPr="00710EF6">
              <w:rPr>
                <w:b/>
                <w:sz w:val="20"/>
                <w:szCs w:val="20"/>
                <w:lang w:val="et-EE" w:eastAsia="et-EE"/>
              </w:rPr>
              <w:t>TULU LIIK</w:t>
            </w:r>
          </w:p>
        </w:tc>
        <w:tc>
          <w:tcPr>
            <w:tcW w:w="1218" w:type="dxa"/>
            <w:tcBorders>
              <w:top w:val="single" w:sz="8" w:space="0" w:color="auto"/>
              <w:left w:val="nil"/>
              <w:bottom w:val="single" w:sz="8" w:space="0" w:color="auto"/>
              <w:right w:val="single" w:sz="4" w:space="0" w:color="auto"/>
            </w:tcBorders>
            <w:shd w:val="clear" w:color="auto" w:fill="D6E3BC" w:themeFill="accent3" w:themeFillTint="66"/>
            <w:noWrap/>
            <w:vAlign w:val="bottom"/>
            <w:hideMark/>
          </w:tcPr>
          <w:p w:rsidR="00924C20" w:rsidRPr="00710EF6" w:rsidRDefault="00924C20" w:rsidP="008222E0">
            <w:pPr>
              <w:jc w:val="center"/>
              <w:rPr>
                <w:b/>
                <w:sz w:val="20"/>
                <w:szCs w:val="20"/>
                <w:lang w:val="et-EE" w:eastAsia="et-EE"/>
              </w:rPr>
            </w:pPr>
            <w:r w:rsidRPr="00710EF6">
              <w:rPr>
                <w:b/>
                <w:sz w:val="20"/>
                <w:szCs w:val="20"/>
                <w:lang w:val="et-EE" w:eastAsia="et-EE"/>
              </w:rPr>
              <w:t>2017</w:t>
            </w:r>
          </w:p>
        </w:tc>
        <w:tc>
          <w:tcPr>
            <w:tcW w:w="810" w:type="dxa"/>
            <w:tcBorders>
              <w:top w:val="single" w:sz="8" w:space="0" w:color="auto"/>
              <w:left w:val="nil"/>
              <w:bottom w:val="single" w:sz="8" w:space="0" w:color="auto"/>
              <w:right w:val="single" w:sz="4" w:space="0" w:color="auto"/>
            </w:tcBorders>
            <w:shd w:val="clear" w:color="auto" w:fill="D6E3BC" w:themeFill="accent3" w:themeFillTint="66"/>
            <w:noWrap/>
            <w:vAlign w:val="bottom"/>
            <w:hideMark/>
          </w:tcPr>
          <w:p w:rsidR="00924C20" w:rsidRPr="00710EF6" w:rsidRDefault="00924C20" w:rsidP="008222E0">
            <w:pPr>
              <w:jc w:val="center"/>
              <w:rPr>
                <w:b/>
                <w:sz w:val="20"/>
                <w:szCs w:val="20"/>
                <w:lang w:val="et-EE" w:eastAsia="et-EE"/>
              </w:rPr>
            </w:pPr>
            <w:r w:rsidRPr="00710EF6">
              <w:rPr>
                <w:b/>
                <w:sz w:val="20"/>
                <w:szCs w:val="20"/>
                <w:lang w:val="et-EE" w:eastAsia="et-EE"/>
              </w:rPr>
              <w:t>2018</w:t>
            </w:r>
          </w:p>
        </w:tc>
        <w:tc>
          <w:tcPr>
            <w:tcW w:w="1080" w:type="dxa"/>
            <w:tcBorders>
              <w:top w:val="single" w:sz="8" w:space="0" w:color="auto"/>
              <w:left w:val="nil"/>
              <w:bottom w:val="single" w:sz="8" w:space="0" w:color="auto"/>
              <w:right w:val="single" w:sz="4" w:space="0" w:color="auto"/>
            </w:tcBorders>
            <w:shd w:val="clear" w:color="auto" w:fill="D6E3BC" w:themeFill="accent3" w:themeFillTint="66"/>
            <w:noWrap/>
            <w:vAlign w:val="bottom"/>
            <w:hideMark/>
          </w:tcPr>
          <w:p w:rsidR="00924C20" w:rsidRPr="00710EF6" w:rsidRDefault="00924C20" w:rsidP="008222E0">
            <w:pPr>
              <w:jc w:val="center"/>
              <w:rPr>
                <w:b/>
                <w:sz w:val="20"/>
                <w:szCs w:val="20"/>
                <w:lang w:val="et-EE" w:eastAsia="et-EE"/>
              </w:rPr>
            </w:pPr>
            <w:r w:rsidRPr="00710EF6">
              <w:rPr>
                <w:b/>
                <w:sz w:val="20"/>
                <w:szCs w:val="20"/>
                <w:lang w:val="et-EE" w:eastAsia="et-EE"/>
              </w:rPr>
              <w:t>2019</w:t>
            </w:r>
          </w:p>
        </w:tc>
        <w:tc>
          <w:tcPr>
            <w:tcW w:w="1170" w:type="dxa"/>
            <w:tcBorders>
              <w:top w:val="single" w:sz="8" w:space="0" w:color="auto"/>
              <w:left w:val="nil"/>
              <w:bottom w:val="single" w:sz="8" w:space="0" w:color="auto"/>
              <w:right w:val="single" w:sz="4" w:space="0" w:color="auto"/>
            </w:tcBorders>
            <w:shd w:val="clear" w:color="auto" w:fill="D6E3BC" w:themeFill="accent3" w:themeFillTint="66"/>
            <w:noWrap/>
            <w:vAlign w:val="bottom"/>
            <w:hideMark/>
          </w:tcPr>
          <w:p w:rsidR="00924C20" w:rsidRPr="00710EF6" w:rsidRDefault="00924C20" w:rsidP="008222E0">
            <w:pPr>
              <w:jc w:val="center"/>
              <w:rPr>
                <w:b/>
                <w:sz w:val="20"/>
                <w:szCs w:val="20"/>
                <w:lang w:val="et-EE" w:eastAsia="et-EE"/>
              </w:rPr>
            </w:pPr>
            <w:r w:rsidRPr="00710EF6">
              <w:rPr>
                <w:b/>
                <w:sz w:val="20"/>
                <w:szCs w:val="20"/>
                <w:lang w:val="et-EE" w:eastAsia="et-EE"/>
              </w:rPr>
              <w:t>2020</w:t>
            </w:r>
          </w:p>
        </w:tc>
        <w:tc>
          <w:tcPr>
            <w:tcW w:w="1170" w:type="dxa"/>
            <w:tcBorders>
              <w:top w:val="single" w:sz="8" w:space="0" w:color="auto"/>
              <w:left w:val="nil"/>
              <w:bottom w:val="single" w:sz="8" w:space="0" w:color="auto"/>
              <w:right w:val="single" w:sz="4" w:space="0" w:color="auto"/>
            </w:tcBorders>
            <w:shd w:val="clear" w:color="auto" w:fill="D6E3BC" w:themeFill="accent3" w:themeFillTint="66"/>
            <w:noWrap/>
            <w:vAlign w:val="bottom"/>
            <w:hideMark/>
          </w:tcPr>
          <w:p w:rsidR="00924C20" w:rsidRPr="00710EF6" w:rsidRDefault="00924C20" w:rsidP="008222E0">
            <w:pPr>
              <w:jc w:val="center"/>
              <w:rPr>
                <w:b/>
                <w:sz w:val="20"/>
                <w:szCs w:val="20"/>
                <w:lang w:val="et-EE" w:eastAsia="et-EE"/>
              </w:rPr>
            </w:pPr>
            <w:r w:rsidRPr="00710EF6">
              <w:rPr>
                <w:b/>
                <w:sz w:val="20"/>
                <w:szCs w:val="20"/>
                <w:lang w:val="et-EE" w:eastAsia="et-EE"/>
              </w:rPr>
              <w:t>2021</w:t>
            </w:r>
          </w:p>
        </w:tc>
        <w:tc>
          <w:tcPr>
            <w:tcW w:w="1170" w:type="dxa"/>
            <w:tcBorders>
              <w:top w:val="single" w:sz="8" w:space="0" w:color="auto"/>
              <w:left w:val="nil"/>
              <w:bottom w:val="single" w:sz="8" w:space="0" w:color="auto"/>
              <w:right w:val="single" w:sz="8" w:space="0" w:color="auto"/>
            </w:tcBorders>
            <w:shd w:val="clear" w:color="auto" w:fill="D6E3BC" w:themeFill="accent3" w:themeFillTint="66"/>
            <w:noWrap/>
            <w:vAlign w:val="bottom"/>
            <w:hideMark/>
          </w:tcPr>
          <w:p w:rsidR="00924C20" w:rsidRPr="00710EF6" w:rsidRDefault="00924C20" w:rsidP="008222E0">
            <w:pPr>
              <w:jc w:val="center"/>
              <w:rPr>
                <w:b/>
                <w:sz w:val="20"/>
                <w:szCs w:val="20"/>
                <w:lang w:val="et-EE" w:eastAsia="et-EE"/>
              </w:rPr>
            </w:pPr>
            <w:r w:rsidRPr="00710EF6">
              <w:rPr>
                <w:b/>
                <w:sz w:val="20"/>
                <w:szCs w:val="20"/>
                <w:lang w:val="et-EE" w:eastAsia="et-EE"/>
              </w:rPr>
              <w:t>2022</w:t>
            </w:r>
          </w:p>
        </w:tc>
      </w:tr>
      <w:tr w:rsidR="00924C20" w:rsidRPr="00710EF6" w:rsidTr="004F0C43">
        <w:trPr>
          <w:trHeight w:val="315"/>
        </w:trPr>
        <w:tc>
          <w:tcPr>
            <w:tcW w:w="2542" w:type="dxa"/>
            <w:tcBorders>
              <w:top w:val="nil"/>
              <w:left w:val="single" w:sz="4" w:space="0" w:color="auto"/>
              <w:bottom w:val="single" w:sz="4" w:space="0" w:color="auto"/>
              <w:right w:val="single" w:sz="4" w:space="0" w:color="auto"/>
            </w:tcBorders>
            <w:shd w:val="clear" w:color="auto" w:fill="auto"/>
            <w:noWrap/>
            <w:vAlign w:val="bottom"/>
            <w:hideMark/>
          </w:tcPr>
          <w:p w:rsidR="00924C20" w:rsidRPr="00710EF6" w:rsidRDefault="00924C20" w:rsidP="00D72106">
            <w:pPr>
              <w:rPr>
                <w:bCs/>
                <w:sz w:val="20"/>
                <w:szCs w:val="20"/>
                <w:lang w:val="et-EE" w:eastAsia="et-EE"/>
              </w:rPr>
            </w:pPr>
            <w:r w:rsidRPr="00710EF6">
              <w:rPr>
                <w:bCs/>
                <w:sz w:val="20"/>
                <w:szCs w:val="20"/>
                <w:lang w:val="et-EE" w:eastAsia="et-EE"/>
              </w:rPr>
              <w:t>Tulumaks</w:t>
            </w:r>
          </w:p>
        </w:tc>
        <w:tc>
          <w:tcPr>
            <w:tcW w:w="1218"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rPr>
                <w:bCs/>
                <w:sz w:val="20"/>
                <w:szCs w:val="20"/>
                <w:lang w:val="et-EE" w:eastAsia="et-EE"/>
              </w:rPr>
            </w:pPr>
            <w:r w:rsidRPr="00710EF6">
              <w:rPr>
                <w:bCs/>
                <w:sz w:val="20"/>
                <w:szCs w:val="20"/>
                <w:lang w:val="et-EE" w:eastAsia="et-EE"/>
              </w:rPr>
              <w:t> </w:t>
            </w:r>
          </w:p>
        </w:tc>
        <w:tc>
          <w:tcPr>
            <w:tcW w:w="81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rPr>
                <w:bCs/>
                <w:sz w:val="20"/>
                <w:szCs w:val="20"/>
                <w:lang w:val="et-EE" w:eastAsia="et-EE"/>
              </w:rPr>
            </w:pPr>
            <w:r w:rsidRPr="00710EF6">
              <w:rPr>
                <w:bCs/>
                <w:sz w:val="20"/>
                <w:szCs w:val="20"/>
                <w:lang w:val="et-EE" w:eastAsia="et-EE"/>
              </w:rPr>
              <w:t> </w:t>
            </w:r>
          </w:p>
        </w:tc>
        <w:tc>
          <w:tcPr>
            <w:tcW w:w="108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bCs/>
                <w:sz w:val="20"/>
                <w:szCs w:val="20"/>
                <w:lang w:val="et-EE" w:eastAsia="et-EE"/>
              </w:rPr>
            </w:pPr>
            <w:r w:rsidRPr="00710EF6">
              <w:rPr>
                <w:bCs/>
                <w:sz w:val="20"/>
                <w:szCs w:val="20"/>
                <w:lang w:val="et-EE" w:eastAsia="et-EE"/>
              </w:rPr>
              <w:t>1149</w:t>
            </w:r>
          </w:p>
        </w:tc>
        <w:tc>
          <w:tcPr>
            <w:tcW w:w="117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bCs/>
                <w:sz w:val="20"/>
                <w:szCs w:val="20"/>
                <w:lang w:val="et-EE" w:eastAsia="et-EE"/>
              </w:rPr>
            </w:pPr>
            <w:r w:rsidRPr="00710EF6">
              <w:rPr>
                <w:bCs/>
                <w:sz w:val="20"/>
                <w:szCs w:val="20"/>
                <w:lang w:val="et-EE" w:eastAsia="et-EE"/>
              </w:rPr>
              <w:t>1219</w:t>
            </w:r>
          </w:p>
        </w:tc>
        <w:tc>
          <w:tcPr>
            <w:tcW w:w="117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bCs/>
                <w:sz w:val="20"/>
                <w:szCs w:val="20"/>
                <w:lang w:val="et-EE" w:eastAsia="et-EE"/>
              </w:rPr>
            </w:pPr>
            <w:r w:rsidRPr="00710EF6">
              <w:rPr>
                <w:bCs/>
                <w:sz w:val="20"/>
                <w:szCs w:val="20"/>
                <w:lang w:val="et-EE" w:eastAsia="et-EE"/>
              </w:rPr>
              <w:t>1283</w:t>
            </w:r>
          </w:p>
        </w:tc>
        <w:tc>
          <w:tcPr>
            <w:tcW w:w="117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bCs/>
                <w:sz w:val="20"/>
                <w:szCs w:val="20"/>
                <w:lang w:val="et-EE" w:eastAsia="et-EE"/>
              </w:rPr>
            </w:pPr>
            <w:r w:rsidRPr="00710EF6">
              <w:rPr>
                <w:bCs/>
                <w:sz w:val="20"/>
                <w:szCs w:val="20"/>
                <w:lang w:val="et-EE" w:eastAsia="et-EE"/>
              </w:rPr>
              <w:t>1350</w:t>
            </w:r>
          </w:p>
        </w:tc>
      </w:tr>
      <w:tr w:rsidR="00924C20" w:rsidRPr="00710EF6" w:rsidTr="004F0C43">
        <w:trPr>
          <w:trHeight w:val="315"/>
        </w:trPr>
        <w:tc>
          <w:tcPr>
            <w:tcW w:w="2542" w:type="dxa"/>
            <w:tcBorders>
              <w:top w:val="nil"/>
              <w:left w:val="single" w:sz="4" w:space="0" w:color="auto"/>
              <w:bottom w:val="single" w:sz="4" w:space="0" w:color="auto"/>
              <w:right w:val="single" w:sz="4" w:space="0" w:color="auto"/>
            </w:tcBorders>
            <w:shd w:val="clear" w:color="auto" w:fill="auto"/>
            <w:noWrap/>
            <w:vAlign w:val="bottom"/>
            <w:hideMark/>
          </w:tcPr>
          <w:p w:rsidR="00924C20" w:rsidRPr="00710EF6" w:rsidRDefault="00924C20" w:rsidP="00D72106">
            <w:pPr>
              <w:rPr>
                <w:bCs/>
                <w:sz w:val="20"/>
                <w:szCs w:val="20"/>
                <w:lang w:val="et-EE" w:eastAsia="et-EE"/>
              </w:rPr>
            </w:pPr>
            <w:r w:rsidRPr="00710EF6">
              <w:rPr>
                <w:bCs/>
                <w:sz w:val="20"/>
                <w:szCs w:val="20"/>
                <w:lang w:val="et-EE" w:eastAsia="et-EE"/>
              </w:rPr>
              <w:t>Maamaks</w:t>
            </w:r>
          </w:p>
        </w:tc>
        <w:tc>
          <w:tcPr>
            <w:tcW w:w="1218"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rPr>
                <w:bCs/>
                <w:sz w:val="20"/>
                <w:szCs w:val="20"/>
                <w:lang w:val="et-EE" w:eastAsia="et-EE"/>
              </w:rPr>
            </w:pPr>
            <w:r w:rsidRPr="00710EF6">
              <w:rPr>
                <w:bCs/>
                <w:sz w:val="20"/>
                <w:szCs w:val="20"/>
                <w:lang w:val="et-EE" w:eastAsia="et-EE"/>
              </w:rPr>
              <w:t> </w:t>
            </w:r>
          </w:p>
        </w:tc>
        <w:tc>
          <w:tcPr>
            <w:tcW w:w="81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rPr>
                <w:bCs/>
                <w:sz w:val="20"/>
                <w:szCs w:val="20"/>
                <w:lang w:val="et-EE" w:eastAsia="et-EE"/>
              </w:rPr>
            </w:pPr>
            <w:r w:rsidRPr="00710EF6">
              <w:rPr>
                <w:bCs/>
                <w:sz w:val="20"/>
                <w:szCs w:val="20"/>
                <w:lang w:val="et-EE" w:eastAsia="et-EE"/>
              </w:rPr>
              <w:t> </w:t>
            </w:r>
          </w:p>
        </w:tc>
        <w:tc>
          <w:tcPr>
            <w:tcW w:w="108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bCs/>
                <w:sz w:val="20"/>
                <w:szCs w:val="20"/>
                <w:lang w:val="et-EE" w:eastAsia="et-EE"/>
              </w:rPr>
            </w:pPr>
            <w:r w:rsidRPr="00710EF6">
              <w:rPr>
                <w:bCs/>
                <w:sz w:val="20"/>
                <w:szCs w:val="20"/>
                <w:lang w:val="et-EE" w:eastAsia="et-EE"/>
              </w:rPr>
              <w:t>58</w:t>
            </w:r>
          </w:p>
        </w:tc>
        <w:tc>
          <w:tcPr>
            <w:tcW w:w="117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bCs/>
                <w:sz w:val="20"/>
                <w:szCs w:val="20"/>
                <w:lang w:val="et-EE" w:eastAsia="et-EE"/>
              </w:rPr>
            </w:pPr>
            <w:r w:rsidRPr="00710EF6">
              <w:rPr>
                <w:bCs/>
                <w:sz w:val="20"/>
                <w:szCs w:val="20"/>
                <w:lang w:val="et-EE" w:eastAsia="et-EE"/>
              </w:rPr>
              <w:t>58</w:t>
            </w:r>
          </w:p>
        </w:tc>
        <w:tc>
          <w:tcPr>
            <w:tcW w:w="117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bCs/>
                <w:sz w:val="20"/>
                <w:szCs w:val="20"/>
                <w:lang w:val="et-EE" w:eastAsia="et-EE"/>
              </w:rPr>
            </w:pPr>
            <w:r w:rsidRPr="00710EF6">
              <w:rPr>
                <w:bCs/>
                <w:sz w:val="20"/>
                <w:szCs w:val="20"/>
                <w:lang w:val="et-EE" w:eastAsia="et-EE"/>
              </w:rPr>
              <w:t>58</w:t>
            </w:r>
          </w:p>
        </w:tc>
        <w:tc>
          <w:tcPr>
            <w:tcW w:w="117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bCs/>
                <w:sz w:val="20"/>
                <w:szCs w:val="20"/>
                <w:lang w:val="et-EE" w:eastAsia="et-EE"/>
              </w:rPr>
            </w:pPr>
            <w:r w:rsidRPr="00710EF6">
              <w:rPr>
                <w:bCs/>
                <w:sz w:val="20"/>
                <w:szCs w:val="20"/>
                <w:lang w:val="et-EE" w:eastAsia="et-EE"/>
              </w:rPr>
              <w:t>58</w:t>
            </w:r>
          </w:p>
        </w:tc>
      </w:tr>
      <w:tr w:rsidR="00924C20" w:rsidRPr="00710EF6" w:rsidTr="004F0C43">
        <w:trPr>
          <w:trHeight w:val="315"/>
        </w:trPr>
        <w:tc>
          <w:tcPr>
            <w:tcW w:w="2542" w:type="dxa"/>
            <w:tcBorders>
              <w:top w:val="nil"/>
              <w:left w:val="single" w:sz="4" w:space="0" w:color="auto"/>
              <w:bottom w:val="single" w:sz="4" w:space="0" w:color="auto"/>
              <w:right w:val="single" w:sz="4" w:space="0" w:color="auto"/>
            </w:tcBorders>
            <w:shd w:val="clear" w:color="auto" w:fill="auto"/>
            <w:noWrap/>
            <w:vAlign w:val="bottom"/>
            <w:hideMark/>
          </w:tcPr>
          <w:p w:rsidR="00924C20" w:rsidRPr="00710EF6" w:rsidRDefault="00924C20" w:rsidP="00D72106">
            <w:pPr>
              <w:rPr>
                <w:bCs/>
                <w:sz w:val="20"/>
                <w:szCs w:val="20"/>
                <w:lang w:val="et-EE" w:eastAsia="et-EE"/>
              </w:rPr>
            </w:pPr>
            <w:r w:rsidRPr="00710EF6">
              <w:rPr>
                <w:bCs/>
                <w:sz w:val="20"/>
                <w:szCs w:val="20"/>
                <w:lang w:val="et-EE" w:eastAsia="et-EE"/>
              </w:rPr>
              <w:t>Tasandusfond</w:t>
            </w:r>
          </w:p>
        </w:tc>
        <w:tc>
          <w:tcPr>
            <w:tcW w:w="1218"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rPr>
                <w:bCs/>
                <w:sz w:val="20"/>
                <w:szCs w:val="20"/>
                <w:lang w:val="et-EE" w:eastAsia="et-EE"/>
              </w:rPr>
            </w:pPr>
            <w:r w:rsidRPr="00710EF6">
              <w:rPr>
                <w:bCs/>
                <w:sz w:val="20"/>
                <w:szCs w:val="20"/>
                <w:lang w:val="et-EE" w:eastAsia="et-EE"/>
              </w:rPr>
              <w:t> </w:t>
            </w:r>
          </w:p>
        </w:tc>
        <w:tc>
          <w:tcPr>
            <w:tcW w:w="81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rPr>
                <w:bCs/>
                <w:sz w:val="20"/>
                <w:szCs w:val="20"/>
                <w:lang w:val="et-EE" w:eastAsia="et-EE"/>
              </w:rPr>
            </w:pPr>
            <w:r w:rsidRPr="00710EF6">
              <w:rPr>
                <w:bCs/>
                <w:sz w:val="20"/>
                <w:szCs w:val="20"/>
                <w:lang w:val="et-EE" w:eastAsia="et-EE"/>
              </w:rPr>
              <w:t> </w:t>
            </w:r>
          </w:p>
        </w:tc>
        <w:tc>
          <w:tcPr>
            <w:tcW w:w="108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bCs/>
                <w:sz w:val="20"/>
                <w:szCs w:val="20"/>
                <w:lang w:val="et-EE" w:eastAsia="et-EE"/>
              </w:rPr>
            </w:pPr>
            <w:r w:rsidRPr="00710EF6">
              <w:rPr>
                <w:bCs/>
                <w:sz w:val="20"/>
                <w:szCs w:val="20"/>
                <w:lang w:val="et-EE" w:eastAsia="et-EE"/>
              </w:rPr>
              <w:t>100,2</w:t>
            </w:r>
          </w:p>
        </w:tc>
        <w:tc>
          <w:tcPr>
            <w:tcW w:w="117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bCs/>
                <w:sz w:val="20"/>
                <w:szCs w:val="20"/>
                <w:lang w:val="et-EE" w:eastAsia="et-EE"/>
              </w:rPr>
            </w:pPr>
            <w:r w:rsidRPr="00710EF6">
              <w:rPr>
                <w:bCs/>
                <w:sz w:val="20"/>
                <w:szCs w:val="20"/>
                <w:lang w:val="et-EE" w:eastAsia="et-EE"/>
              </w:rPr>
              <w:t>105,2</w:t>
            </w:r>
          </w:p>
        </w:tc>
        <w:tc>
          <w:tcPr>
            <w:tcW w:w="117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bCs/>
                <w:sz w:val="20"/>
                <w:szCs w:val="20"/>
                <w:lang w:val="et-EE" w:eastAsia="et-EE"/>
              </w:rPr>
            </w:pPr>
            <w:r w:rsidRPr="00710EF6">
              <w:rPr>
                <w:bCs/>
                <w:sz w:val="20"/>
                <w:szCs w:val="20"/>
                <w:lang w:val="et-EE" w:eastAsia="et-EE"/>
              </w:rPr>
              <w:t>105,2</w:t>
            </w:r>
          </w:p>
        </w:tc>
        <w:tc>
          <w:tcPr>
            <w:tcW w:w="117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bCs/>
                <w:sz w:val="20"/>
                <w:szCs w:val="20"/>
                <w:lang w:val="et-EE" w:eastAsia="et-EE"/>
              </w:rPr>
            </w:pPr>
            <w:r w:rsidRPr="00710EF6">
              <w:rPr>
                <w:bCs/>
                <w:sz w:val="20"/>
                <w:szCs w:val="20"/>
                <w:lang w:val="et-EE" w:eastAsia="et-EE"/>
              </w:rPr>
              <w:t>105,2</w:t>
            </w:r>
          </w:p>
        </w:tc>
      </w:tr>
      <w:tr w:rsidR="00924C20" w:rsidRPr="00710EF6" w:rsidTr="004F0C43">
        <w:trPr>
          <w:trHeight w:val="315"/>
        </w:trPr>
        <w:tc>
          <w:tcPr>
            <w:tcW w:w="2542" w:type="dxa"/>
            <w:tcBorders>
              <w:top w:val="nil"/>
              <w:left w:val="single" w:sz="4" w:space="0" w:color="auto"/>
              <w:bottom w:val="single" w:sz="4" w:space="0" w:color="auto"/>
              <w:right w:val="single" w:sz="4" w:space="0" w:color="auto"/>
            </w:tcBorders>
            <w:shd w:val="clear" w:color="auto" w:fill="auto"/>
            <w:noWrap/>
            <w:vAlign w:val="bottom"/>
            <w:hideMark/>
          </w:tcPr>
          <w:p w:rsidR="00924C20" w:rsidRPr="00710EF6" w:rsidRDefault="00924C20" w:rsidP="00D72106">
            <w:pPr>
              <w:rPr>
                <w:bCs/>
                <w:sz w:val="20"/>
                <w:szCs w:val="20"/>
                <w:lang w:val="et-EE" w:eastAsia="et-EE"/>
              </w:rPr>
            </w:pPr>
            <w:r w:rsidRPr="00710EF6">
              <w:rPr>
                <w:bCs/>
                <w:sz w:val="20"/>
                <w:szCs w:val="20"/>
                <w:lang w:val="et-EE" w:eastAsia="et-EE"/>
              </w:rPr>
              <w:t>Toetusfond</w:t>
            </w:r>
          </w:p>
        </w:tc>
        <w:tc>
          <w:tcPr>
            <w:tcW w:w="1218"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rPr>
                <w:bCs/>
                <w:sz w:val="20"/>
                <w:szCs w:val="20"/>
                <w:lang w:val="et-EE" w:eastAsia="et-EE"/>
              </w:rPr>
            </w:pPr>
            <w:r w:rsidRPr="00710EF6">
              <w:rPr>
                <w:bCs/>
                <w:sz w:val="20"/>
                <w:szCs w:val="20"/>
                <w:lang w:val="et-EE" w:eastAsia="et-EE"/>
              </w:rPr>
              <w:t> </w:t>
            </w:r>
          </w:p>
        </w:tc>
        <w:tc>
          <w:tcPr>
            <w:tcW w:w="81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rPr>
                <w:bCs/>
                <w:sz w:val="20"/>
                <w:szCs w:val="20"/>
                <w:lang w:val="et-EE" w:eastAsia="et-EE"/>
              </w:rPr>
            </w:pPr>
            <w:r w:rsidRPr="00710EF6">
              <w:rPr>
                <w:bCs/>
                <w:sz w:val="20"/>
                <w:szCs w:val="20"/>
                <w:lang w:val="et-EE" w:eastAsia="et-EE"/>
              </w:rPr>
              <w:t> </w:t>
            </w:r>
          </w:p>
        </w:tc>
        <w:tc>
          <w:tcPr>
            <w:tcW w:w="108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bCs/>
                <w:sz w:val="20"/>
                <w:szCs w:val="20"/>
                <w:lang w:val="et-EE" w:eastAsia="et-EE"/>
              </w:rPr>
            </w:pPr>
            <w:r w:rsidRPr="00710EF6">
              <w:rPr>
                <w:bCs/>
                <w:sz w:val="20"/>
                <w:szCs w:val="20"/>
                <w:lang w:val="et-EE" w:eastAsia="et-EE"/>
              </w:rPr>
              <w:t>421,3</w:t>
            </w:r>
          </w:p>
        </w:tc>
        <w:tc>
          <w:tcPr>
            <w:tcW w:w="117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bCs/>
                <w:sz w:val="20"/>
                <w:szCs w:val="20"/>
                <w:lang w:val="et-EE" w:eastAsia="et-EE"/>
              </w:rPr>
            </w:pPr>
            <w:r w:rsidRPr="00710EF6">
              <w:rPr>
                <w:bCs/>
                <w:sz w:val="20"/>
                <w:szCs w:val="20"/>
                <w:lang w:val="et-EE" w:eastAsia="et-EE"/>
              </w:rPr>
              <w:t>421,3</w:t>
            </w:r>
          </w:p>
        </w:tc>
        <w:tc>
          <w:tcPr>
            <w:tcW w:w="117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bCs/>
                <w:sz w:val="20"/>
                <w:szCs w:val="20"/>
                <w:lang w:val="et-EE" w:eastAsia="et-EE"/>
              </w:rPr>
            </w:pPr>
            <w:r w:rsidRPr="00710EF6">
              <w:rPr>
                <w:bCs/>
                <w:sz w:val="20"/>
                <w:szCs w:val="20"/>
                <w:lang w:val="et-EE" w:eastAsia="et-EE"/>
              </w:rPr>
              <w:t>420,8</w:t>
            </w:r>
          </w:p>
        </w:tc>
        <w:tc>
          <w:tcPr>
            <w:tcW w:w="117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bCs/>
                <w:sz w:val="20"/>
                <w:szCs w:val="20"/>
                <w:lang w:val="et-EE" w:eastAsia="et-EE"/>
              </w:rPr>
            </w:pPr>
            <w:r w:rsidRPr="00710EF6">
              <w:rPr>
                <w:bCs/>
                <w:sz w:val="20"/>
                <w:szCs w:val="20"/>
                <w:lang w:val="et-EE" w:eastAsia="et-EE"/>
              </w:rPr>
              <w:t>419,3</w:t>
            </w:r>
          </w:p>
        </w:tc>
      </w:tr>
      <w:tr w:rsidR="00924C20" w:rsidRPr="00710EF6" w:rsidTr="004F0C43">
        <w:trPr>
          <w:trHeight w:val="315"/>
        </w:trPr>
        <w:tc>
          <w:tcPr>
            <w:tcW w:w="2542" w:type="dxa"/>
            <w:tcBorders>
              <w:top w:val="nil"/>
              <w:left w:val="single" w:sz="4" w:space="0" w:color="auto"/>
              <w:bottom w:val="single" w:sz="4" w:space="0" w:color="auto"/>
              <w:right w:val="single" w:sz="4" w:space="0" w:color="auto"/>
            </w:tcBorders>
            <w:shd w:val="clear" w:color="auto" w:fill="auto"/>
            <w:noWrap/>
            <w:vAlign w:val="bottom"/>
            <w:hideMark/>
          </w:tcPr>
          <w:p w:rsidR="00924C20" w:rsidRPr="00710EF6" w:rsidRDefault="00924C20" w:rsidP="004F0C43">
            <w:pPr>
              <w:rPr>
                <w:bCs/>
                <w:sz w:val="20"/>
                <w:szCs w:val="20"/>
                <w:lang w:val="et-EE" w:eastAsia="et-EE"/>
              </w:rPr>
            </w:pPr>
            <w:r w:rsidRPr="00710EF6">
              <w:rPr>
                <w:bCs/>
                <w:sz w:val="20"/>
                <w:szCs w:val="20"/>
                <w:lang w:val="et-EE" w:eastAsia="et-EE"/>
              </w:rPr>
              <w:t xml:space="preserve">s.h. </w:t>
            </w:r>
            <w:r w:rsidR="004F0C43" w:rsidRPr="00710EF6">
              <w:rPr>
                <w:bCs/>
                <w:sz w:val="20"/>
                <w:szCs w:val="20"/>
                <w:lang w:val="et-EE" w:eastAsia="et-EE"/>
              </w:rPr>
              <w:t>ü</w:t>
            </w:r>
            <w:r w:rsidRPr="00710EF6">
              <w:rPr>
                <w:bCs/>
                <w:sz w:val="20"/>
                <w:szCs w:val="20"/>
                <w:lang w:val="et-EE" w:eastAsia="et-EE"/>
              </w:rPr>
              <w:t>hinemistoetus</w:t>
            </w:r>
          </w:p>
        </w:tc>
        <w:tc>
          <w:tcPr>
            <w:tcW w:w="1218"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bCs/>
                <w:sz w:val="20"/>
                <w:szCs w:val="20"/>
                <w:lang w:val="et-EE" w:eastAsia="et-EE"/>
              </w:rPr>
            </w:pPr>
            <w:r w:rsidRPr="00710EF6">
              <w:rPr>
                <w:bCs/>
                <w:sz w:val="20"/>
                <w:szCs w:val="20"/>
                <w:lang w:val="et-EE" w:eastAsia="et-EE"/>
              </w:rPr>
              <w:t>14</w:t>
            </w:r>
          </w:p>
        </w:tc>
        <w:tc>
          <w:tcPr>
            <w:tcW w:w="81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bCs/>
                <w:sz w:val="20"/>
                <w:szCs w:val="20"/>
                <w:lang w:val="et-EE" w:eastAsia="et-EE"/>
              </w:rPr>
            </w:pPr>
            <w:r w:rsidRPr="00710EF6">
              <w:rPr>
                <w:bCs/>
                <w:sz w:val="20"/>
                <w:szCs w:val="20"/>
                <w:lang w:val="et-EE" w:eastAsia="et-EE"/>
              </w:rPr>
              <w:t>30</w:t>
            </w:r>
          </w:p>
        </w:tc>
        <w:tc>
          <w:tcPr>
            <w:tcW w:w="108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jc w:val="right"/>
              <w:rPr>
                <w:bCs/>
                <w:sz w:val="20"/>
                <w:szCs w:val="20"/>
                <w:lang w:val="et-EE" w:eastAsia="et-EE"/>
              </w:rPr>
            </w:pPr>
            <w:r w:rsidRPr="00710EF6">
              <w:rPr>
                <w:bCs/>
                <w:sz w:val="20"/>
                <w:szCs w:val="20"/>
                <w:lang w:val="et-EE" w:eastAsia="et-EE"/>
              </w:rPr>
              <w:t>21</w:t>
            </w:r>
          </w:p>
        </w:tc>
        <w:tc>
          <w:tcPr>
            <w:tcW w:w="117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rPr>
                <w:bCs/>
                <w:sz w:val="20"/>
                <w:szCs w:val="20"/>
                <w:lang w:val="et-EE" w:eastAsia="et-EE"/>
              </w:rPr>
            </w:pPr>
            <w:r w:rsidRPr="00710EF6">
              <w:rPr>
                <w:bCs/>
                <w:sz w:val="20"/>
                <w:szCs w:val="20"/>
                <w:lang w:val="et-EE" w:eastAsia="et-EE"/>
              </w:rPr>
              <w:t> </w:t>
            </w:r>
          </w:p>
        </w:tc>
        <w:tc>
          <w:tcPr>
            <w:tcW w:w="117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rPr>
                <w:bCs/>
                <w:sz w:val="20"/>
                <w:szCs w:val="20"/>
                <w:lang w:val="et-EE" w:eastAsia="et-EE"/>
              </w:rPr>
            </w:pPr>
            <w:r w:rsidRPr="00710EF6">
              <w:rPr>
                <w:bCs/>
                <w:sz w:val="20"/>
                <w:szCs w:val="20"/>
                <w:lang w:val="et-EE" w:eastAsia="et-EE"/>
              </w:rPr>
              <w:t> </w:t>
            </w:r>
          </w:p>
        </w:tc>
        <w:tc>
          <w:tcPr>
            <w:tcW w:w="1170" w:type="dxa"/>
            <w:tcBorders>
              <w:top w:val="nil"/>
              <w:left w:val="nil"/>
              <w:bottom w:val="single" w:sz="4" w:space="0" w:color="auto"/>
              <w:right w:val="single" w:sz="4" w:space="0" w:color="auto"/>
            </w:tcBorders>
            <w:shd w:val="clear" w:color="auto" w:fill="auto"/>
            <w:noWrap/>
            <w:vAlign w:val="bottom"/>
            <w:hideMark/>
          </w:tcPr>
          <w:p w:rsidR="00924C20" w:rsidRPr="00710EF6" w:rsidRDefault="00924C20" w:rsidP="00D72106">
            <w:pPr>
              <w:rPr>
                <w:bCs/>
                <w:sz w:val="20"/>
                <w:szCs w:val="20"/>
                <w:lang w:val="et-EE" w:eastAsia="et-EE"/>
              </w:rPr>
            </w:pPr>
            <w:r w:rsidRPr="00710EF6">
              <w:rPr>
                <w:bCs/>
                <w:sz w:val="20"/>
                <w:szCs w:val="20"/>
                <w:lang w:val="et-EE" w:eastAsia="et-EE"/>
              </w:rPr>
              <w:t> </w:t>
            </w:r>
          </w:p>
        </w:tc>
      </w:tr>
    </w:tbl>
    <w:p w:rsidR="00924C20" w:rsidRPr="00710EF6" w:rsidRDefault="00FE0274" w:rsidP="00924C20">
      <w:pPr>
        <w:autoSpaceDE w:val="0"/>
        <w:autoSpaceDN w:val="0"/>
        <w:adjustRightInd w:val="0"/>
        <w:rPr>
          <w:b/>
          <w:sz w:val="20"/>
          <w:szCs w:val="20"/>
          <w:lang w:val="et-EE"/>
        </w:rPr>
      </w:pPr>
      <w:r>
        <w:rPr>
          <w:b/>
          <w:sz w:val="20"/>
          <w:szCs w:val="20"/>
          <w:lang w:val="et-EE"/>
        </w:rPr>
        <w:br/>
      </w:r>
      <w:r w:rsidR="00F127CC" w:rsidRPr="00710EF6">
        <w:rPr>
          <w:b/>
          <w:sz w:val="20"/>
          <w:szCs w:val="20"/>
          <w:lang w:val="et-EE"/>
        </w:rPr>
        <w:t>Tabel 2. Kohalike omavalitsuste tulubaas 2017 ja prognoos 2018-2022 (milj. eurot).</w:t>
      </w:r>
    </w:p>
    <w:p w:rsidR="00F127CC" w:rsidRPr="00710EF6" w:rsidRDefault="00F127CC" w:rsidP="00924C20">
      <w:pPr>
        <w:autoSpaceDE w:val="0"/>
        <w:autoSpaceDN w:val="0"/>
        <w:adjustRightInd w:val="0"/>
        <w:jc w:val="both"/>
        <w:rPr>
          <w:b/>
          <w:sz w:val="20"/>
          <w:szCs w:val="20"/>
          <w:lang w:val="et-EE"/>
        </w:rPr>
      </w:pPr>
    </w:p>
    <w:p w:rsidR="00924C20" w:rsidRPr="00710EF6" w:rsidRDefault="00924C20" w:rsidP="00FA1A35">
      <w:pPr>
        <w:autoSpaceDE w:val="0"/>
        <w:autoSpaceDN w:val="0"/>
        <w:adjustRightInd w:val="0"/>
        <w:spacing w:line="276" w:lineRule="auto"/>
        <w:jc w:val="both"/>
        <w:rPr>
          <w:lang w:val="et-EE"/>
        </w:rPr>
      </w:pPr>
      <w:r w:rsidRPr="00710EF6">
        <w:rPr>
          <w:lang w:val="et-EE"/>
        </w:rPr>
        <w:t>K</w:t>
      </w:r>
      <w:r w:rsidR="004F0C43" w:rsidRPr="00710EF6">
        <w:rPr>
          <w:lang w:val="et-EE"/>
        </w:rPr>
        <w:t>ohalike omavalitsuste</w:t>
      </w:r>
      <w:r w:rsidRPr="00710EF6">
        <w:rPr>
          <w:lang w:val="et-EE"/>
        </w:rPr>
        <w:t xml:space="preserve"> ja nendest sõltuvate üksuste tekkepõhine puudujääk ulatus 2017. aastal 58 m</w:t>
      </w:r>
      <w:r w:rsidR="008222E0" w:rsidRPr="00710EF6">
        <w:rPr>
          <w:lang w:val="et-EE"/>
        </w:rPr>
        <w:t>i</w:t>
      </w:r>
      <w:r w:rsidRPr="00710EF6">
        <w:rPr>
          <w:lang w:val="et-EE"/>
        </w:rPr>
        <w:t>l</w:t>
      </w:r>
      <w:r w:rsidR="008222E0" w:rsidRPr="00710EF6">
        <w:rPr>
          <w:lang w:val="et-EE"/>
        </w:rPr>
        <w:t>jo</w:t>
      </w:r>
      <w:r w:rsidRPr="00710EF6">
        <w:rPr>
          <w:lang w:val="et-EE"/>
        </w:rPr>
        <w:t>n</w:t>
      </w:r>
      <w:r w:rsidR="008222E0" w:rsidRPr="00710EF6">
        <w:rPr>
          <w:lang w:val="et-EE"/>
        </w:rPr>
        <w:t>i</w:t>
      </w:r>
      <w:r w:rsidRPr="00710EF6">
        <w:rPr>
          <w:lang w:val="et-EE"/>
        </w:rPr>
        <w:t xml:space="preserve"> euroni. Puudujäägi tekkimist mõjutas nende suurenenud aktiivsus investeeringute tegemisel. 2017. aastal toimusid kohalikud valimised ja viidi läbi haldusreform, mille tulemusena vähenes </w:t>
      </w:r>
      <w:r w:rsidR="004F0C43" w:rsidRPr="00710EF6">
        <w:rPr>
          <w:lang w:val="et-EE"/>
        </w:rPr>
        <w:t>omavalitsusüksuste</w:t>
      </w:r>
      <w:r w:rsidRPr="00710EF6">
        <w:rPr>
          <w:lang w:val="et-EE"/>
        </w:rPr>
        <w:t xml:space="preserve"> arv </w:t>
      </w:r>
      <w:r w:rsidR="008222E0" w:rsidRPr="00710EF6">
        <w:rPr>
          <w:lang w:val="et-EE"/>
        </w:rPr>
        <w:t xml:space="preserve">peale korralisi volikogude valimisi </w:t>
      </w:r>
      <w:r w:rsidRPr="00710EF6">
        <w:rPr>
          <w:lang w:val="et-EE"/>
        </w:rPr>
        <w:t xml:space="preserve">213-lt 79-le. 2018. aastaks prognoosib Rahandusministeerium </w:t>
      </w:r>
      <w:r w:rsidR="004F0C43" w:rsidRPr="00710EF6">
        <w:rPr>
          <w:lang w:val="et-EE"/>
        </w:rPr>
        <w:t>kohalike omavalitsuste tulude</w:t>
      </w:r>
      <w:r w:rsidRPr="00710EF6">
        <w:rPr>
          <w:lang w:val="et-EE"/>
        </w:rPr>
        <w:t xml:space="preserve"> jäämist ülejääki seoses tulude hea kasvu (sh ühinemistoetused) ning eelmise aastaga võrreldes veidi väheneva investeerimisaktiivsuse tõttu. Järgmiste aastate osas prognoosi</w:t>
      </w:r>
      <w:r w:rsidR="008222E0" w:rsidRPr="00710EF6">
        <w:rPr>
          <w:lang w:val="et-EE"/>
        </w:rPr>
        <w:t>takse</w:t>
      </w:r>
      <w:r w:rsidRPr="00710EF6">
        <w:rPr>
          <w:lang w:val="et-EE"/>
        </w:rPr>
        <w:t xml:space="preserve"> nende defitsiiti jäämist kogu </w:t>
      </w:r>
      <w:r w:rsidRPr="00710EF6">
        <w:rPr>
          <w:lang w:val="et-EE"/>
        </w:rPr>
        <w:lastRenderedPageBreak/>
        <w:t xml:space="preserve">eelarvestrateegiaga hõlmatud perioodil </w:t>
      </w:r>
      <w:r w:rsidR="008222E0" w:rsidRPr="00710EF6">
        <w:rPr>
          <w:lang w:val="et-EE"/>
        </w:rPr>
        <w:t>ja selle põhjuseks on</w:t>
      </w:r>
      <w:r w:rsidRPr="00710EF6">
        <w:rPr>
          <w:lang w:val="et-EE"/>
        </w:rPr>
        <w:t xml:space="preserve"> </w:t>
      </w:r>
      <w:r w:rsidR="008222E0" w:rsidRPr="00710EF6">
        <w:rPr>
          <w:lang w:val="et-EE"/>
        </w:rPr>
        <w:t>omavalitsuste</w:t>
      </w:r>
      <w:r w:rsidRPr="00710EF6">
        <w:rPr>
          <w:lang w:val="et-EE"/>
        </w:rPr>
        <w:t xml:space="preserve"> investeerimisaktiivsuse kasv. </w:t>
      </w:r>
      <w:r w:rsidR="008222E0" w:rsidRPr="00710EF6">
        <w:rPr>
          <w:lang w:val="et-EE"/>
        </w:rPr>
        <w:t xml:space="preserve">Defitsiidi </w:t>
      </w:r>
      <w:r w:rsidRPr="00710EF6">
        <w:rPr>
          <w:lang w:val="et-EE"/>
        </w:rPr>
        <w:t>katmiseks suurendatakse peamiselt kohustusi.</w:t>
      </w:r>
    </w:p>
    <w:p w:rsidR="004F0C43" w:rsidRPr="00710EF6" w:rsidRDefault="004F0C43" w:rsidP="00FA1A35">
      <w:pPr>
        <w:autoSpaceDE w:val="0"/>
        <w:autoSpaceDN w:val="0"/>
        <w:adjustRightInd w:val="0"/>
        <w:spacing w:line="276" w:lineRule="auto"/>
        <w:jc w:val="both"/>
        <w:rPr>
          <w:lang w:val="et-EE"/>
        </w:rPr>
      </w:pPr>
    </w:p>
    <w:p w:rsidR="00924C20" w:rsidRPr="00710EF6" w:rsidRDefault="00924C20" w:rsidP="00FA1A35">
      <w:pPr>
        <w:autoSpaceDE w:val="0"/>
        <w:autoSpaceDN w:val="0"/>
        <w:adjustRightInd w:val="0"/>
        <w:spacing w:line="276" w:lineRule="auto"/>
        <w:jc w:val="both"/>
        <w:rPr>
          <w:color w:val="000000"/>
          <w:lang w:val="et-EE"/>
        </w:rPr>
      </w:pPr>
      <w:r w:rsidRPr="00710EF6">
        <w:rPr>
          <w:color w:val="000000"/>
          <w:lang w:val="et-EE"/>
        </w:rPr>
        <w:t xml:space="preserve">Kohalike omavalitsuste ühinemist toetatakse aastatel 2017-2019 prognoositavas kogusummas 65 miljonit eurot. </w:t>
      </w:r>
      <w:r w:rsidR="008222E0" w:rsidRPr="00710EF6">
        <w:rPr>
          <w:color w:val="000000"/>
          <w:lang w:val="et-EE"/>
        </w:rPr>
        <w:t>H</w:t>
      </w:r>
      <w:r w:rsidRPr="00710EF6">
        <w:rPr>
          <w:color w:val="000000"/>
          <w:lang w:val="et-EE"/>
        </w:rPr>
        <w:t>aldusreformi</w:t>
      </w:r>
      <w:r w:rsidR="008222E0" w:rsidRPr="00710EF6">
        <w:rPr>
          <w:color w:val="000000"/>
          <w:lang w:val="et-EE"/>
        </w:rPr>
        <w:t xml:space="preserve">ga seotud </w:t>
      </w:r>
      <w:r w:rsidRPr="00710EF6">
        <w:rPr>
          <w:color w:val="000000"/>
          <w:lang w:val="et-EE"/>
        </w:rPr>
        <w:t>kulud on ajutised, suuremamahulised ning pikas perspektiivis tulu tootvad.</w:t>
      </w:r>
    </w:p>
    <w:p w:rsidR="008C75F9" w:rsidRDefault="008C75F9" w:rsidP="00924C20">
      <w:pPr>
        <w:rPr>
          <w:rFonts w:ascii="Trebuchet MS" w:hAnsi="Trebuchet MS"/>
          <w:lang w:val="et-EE"/>
        </w:rPr>
      </w:pPr>
    </w:p>
    <w:p w:rsidR="00F240D4" w:rsidRPr="006B14A4" w:rsidRDefault="00F240D4" w:rsidP="00924C20">
      <w:pPr>
        <w:rPr>
          <w:rFonts w:ascii="Trebuchet MS" w:hAnsi="Trebuchet MS"/>
          <w:lang w:val="et-EE"/>
        </w:rPr>
      </w:pPr>
    </w:p>
    <w:p w:rsidR="00924C20" w:rsidRPr="00710EF6" w:rsidRDefault="00B7299D" w:rsidP="0063711D">
      <w:pPr>
        <w:pStyle w:val="Pealkiri1"/>
        <w:rPr>
          <w:color w:val="auto"/>
          <w:sz w:val="28"/>
        </w:rPr>
      </w:pPr>
      <w:bookmarkStart w:id="10" w:name="_Toc521395296"/>
      <w:r w:rsidRPr="00710EF6">
        <w:rPr>
          <w:color w:val="auto"/>
          <w:sz w:val="28"/>
        </w:rPr>
        <w:t>2</w:t>
      </w:r>
      <w:r w:rsidR="00924C20" w:rsidRPr="00710EF6">
        <w:rPr>
          <w:color w:val="auto"/>
          <w:sz w:val="28"/>
        </w:rPr>
        <w:t xml:space="preserve">. </w:t>
      </w:r>
      <w:r w:rsidRPr="00710EF6">
        <w:rPr>
          <w:color w:val="auto"/>
          <w:sz w:val="28"/>
        </w:rPr>
        <w:t xml:space="preserve">Sotsiaalmajanduslik olukord </w:t>
      </w:r>
      <w:r w:rsidR="00924C20" w:rsidRPr="00710EF6">
        <w:rPr>
          <w:color w:val="auto"/>
          <w:sz w:val="28"/>
        </w:rPr>
        <w:t>Viru-Nigula valla</w:t>
      </w:r>
      <w:r w:rsidR="008222E0" w:rsidRPr="00710EF6">
        <w:rPr>
          <w:color w:val="auto"/>
          <w:sz w:val="28"/>
        </w:rPr>
        <w:t>s</w:t>
      </w:r>
      <w:bookmarkEnd w:id="10"/>
    </w:p>
    <w:p w:rsidR="0063711D" w:rsidRPr="0063711D" w:rsidRDefault="0063711D" w:rsidP="0063711D">
      <w:pPr>
        <w:rPr>
          <w:lang w:val="et-EE"/>
        </w:rPr>
      </w:pPr>
    </w:p>
    <w:p w:rsidR="00924C20" w:rsidRDefault="00924C20" w:rsidP="00FA1A35">
      <w:pPr>
        <w:spacing w:line="276" w:lineRule="auto"/>
        <w:jc w:val="both"/>
        <w:rPr>
          <w:lang w:val="et-EE"/>
        </w:rPr>
      </w:pPr>
      <w:r w:rsidRPr="00710EF6">
        <w:rPr>
          <w:lang w:val="et-EE"/>
        </w:rPr>
        <w:t>Viru-Nigula valla majanduslik analüüs näitab, et ühinenud vald on oma näitajate</w:t>
      </w:r>
      <w:r w:rsidR="008222E0" w:rsidRPr="00710EF6">
        <w:rPr>
          <w:lang w:val="et-EE"/>
        </w:rPr>
        <w:t xml:space="preserve"> poolest</w:t>
      </w:r>
      <w:r w:rsidRPr="00710EF6">
        <w:rPr>
          <w:lang w:val="et-EE"/>
        </w:rPr>
        <w:t xml:space="preserve"> nn keskmine Eesti vald, kus pisut võimekam piirkond on Kunda linn ja Viru-Nigula alevik, arengus veidi tagasihoidlikum on Aseri piirkond. Hinnangu aluseks on piirkondade keskmine tööhõive, töötuse määr, maksumaksjate suhtarv elanikest (ca 2600), keskmine brutotulu (sh keskmine palk) ja nende näitajate dünaamika. Tööstuslikult on põhiliseks </w:t>
      </w:r>
      <w:r w:rsidRPr="00025237">
        <w:rPr>
          <w:lang w:val="et-EE"/>
        </w:rPr>
        <w:t>piirkonnaks Kunda linn</w:t>
      </w:r>
      <w:r w:rsidR="00FB62EA" w:rsidRPr="00025237">
        <w:rPr>
          <w:lang w:val="et-EE"/>
        </w:rPr>
        <w:t>. S</w:t>
      </w:r>
      <w:r w:rsidRPr="00025237">
        <w:rPr>
          <w:lang w:val="et-EE"/>
        </w:rPr>
        <w:t xml:space="preserve">uuremad ettevõtted </w:t>
      </w:r>
      <w:r w:rsidR="00FB62EA" w:rsidRPr="00025237">
        <w:rPr>
          <w:lang w:val="et-EE"/>
        </w:rPr>
        <w:t xml:space="preserve">vallas </w:t>
      </w:r>
      <w:r w:rsidRPr="00025237">
        <w:rPr>
          <w:lang w:val="et-EE"/>
        </w:rPr>
        <w:t>on</w:t>
      </w:r>
      <w:r w:rsidR="00FB62EA" w:rsidRPr="00025237">
        <w:rPr>
          <w:lang w:val="et-EE"/>
        </w:rPr>
        <w:t xml:space="preserve"> </w:t>
      </w:r>
      <w:r w:rsidR="007E65AA" w:rsidRPr="00025237">
        <w:rPr>
          <w:lang w:val="et-EE"/>
        </w:rPr>
        <w:t xml:space="preserve">AS Kunda Nordic Tsement, AS Estonian Cell, AS Lajos, </w:t>
      </w:r>
      <w:r w:rsidR="008371E9" w:rsidRPr="00025237">
        <w:rPr>
          <w:lang w:val="et-EE"/>
        </w:rPr>
        <w:t>AS Wiene</w:t>
      </w:r>
      <w:r w:rsidR="00710EF6" w:rsidRPr="00025237">
        <w:rPr>
          <w:lang w:val="et-EE"/>
        </w:rPr>
        <w:t>r</w:t>
      </w:r>
      <w:r w:rsidR="00557DA6" w:rsidRPr="00025237">
        <w:rPr>
          <w:lang w:val="et-EE"/>
        </w:rPr>
        <w:t xml:space="preserve">berger, </w:t>
      </w:r>
      <w:r w:rsidR="008371E9" w:rsidRPr="00025237">
        <w:rPr>
          <w:lang w:val="et-EE"/>
        </w:rPr>
        <w:t>Flexa Eesti</w:t>
      </w:r>
      <w:r w:rsidR="00557DA6" w:rsidRPr="00025237">
        <w:rPr>
          <w:lang w:val="et-EE"/>
        </w:rPr>
        <w:t xml:space="preserve"> AS</w:t>
      </w:r>
      <w:r w:rsidR="008371E9" w:rsidRPr="00025237">
        <w:rPr>
          <w:lang w:val="et-EE"/>
        </w:rPr>
        <w:t xml:space="preserve">, </w:t>
      </w:r>
      <w:r w:rsidR="003920EC" w:rsidRPr="00025237">
        <w:rPr>
          <w:lang w:val="et-EE"/>
        </w:rPr>
        <w:t xml:space="preserve">AS Imprest, </w:t>
      </w:r>
      <w:r w:rsidR="007E65AA" w:rsidRPr="00025237">
        <w:rPr>
          <w:lang w:val="et-EE"/>
        </w:rPr>
        <w:t>AS Kunda Trans, AS Kunda-Auto. AS Kunda Nordic Tsement kuulub rahvusvahelise kontserni Heidelberg</w:t>
      </w:r>
      <w:r w:rsidR="0063711D" w:rsidRPr="00025237">
        <w:rPr>
          <w:lang w:val="et-EE"/>
        </w:rPr>
        <w:t xml:space="preserve"> </w:t>
      </w:r>
      <w:r w:rsidR="007E65AA" w:rsidRPr="00025237">
        <w:rPr>
          <w:lang w:val="et-EE"/>
        </w:rPr>
        <w:t>Cement Group koosseisu, kontsernile</w:t>
      </w:r>
      <w:r w:rsidR="007E65AA" w:rsidRPr="00710EF6">
        <w:rPr>
          <w:lang w:val="et-EE"/>
        </w:rPr>
        <w:t xml:space="preserve"> kuulub ka Kunda sadam. </w:t>
      </w:r>
      <w:r w:rsidRPr="00710EF6">
        <w:rPr>
          <w:lang w:val="et-EE"/>
        </w:rPr>
        <w:t>Tööandjana on elanikele kõige suurem keskus Rakvere linn, mis on logistiliselt hästi kättesaadav. Samuti on vallal tihedad tööalased sidemed pealinna Tallinnaga, kus on paljude valla maksumaksjate tööandjad. Maksumaksjate arvu muutusi alates 2013. aastast ja prognoosi kuni aastani 2023 võib iseloomustada järgmiselt:</w:t>
      </w:r>
    </w:p>
    <w:p w:rsidR="00924C20" w:rsidRPr="00025237" w:rsidRDefault="006922C1" w:rsidP="005E1451">
      <w:pPr>
        <w:pStyle w:val="Loendilik"/>
        <w:numPr>
          <w:ilvl w:val="0"/>
          <w:numId w:val="6"/>
        </w:numPr>
        <w:tabs>
          <w:tab w:val="left" w:pos="0"/>
        </w:tabs>
        <w:jc w:val="both"/>
        <w:rPr>
          <w:szCs w:val="24"/>
        </w:rPr>
      </w:pPr>
      <w:r w:rsidRPr="00025237">
        <w:rPr>
          <w:szCs w:val="24"/>
        </w:rPr>
        <w:t>m</w:t>
      </w:r>
      <w:r w:rsidR="00924C20" w:rsidRPr="00025237">
        <w:rPr>
          <w:szCs w:val="24"/>
        </w:rPr>
        <w:t xml:space="preserve">aksumaksjate arvu liikumises suuri muutusi ei tule, kasv aastas 10-15 maksumaksja võrra ja eelarvestrateegia perioodi lõpuks peaks arv jõudma 2650 maksumaksjani; </w:t>
      </w:r>
    </w:p>
    <w:p w:rsidR="00924C20" w:rsidRPr="00025237" w:rsidRDefault="006922C1" w:rsidP="005E1451">
      <w:pPr>
        <w:pStyle w:val="Loendilik"/>
        <w:numPr>
          <w:ilvl w:val="0"/>
          <w:numId w:val="6"/>
        </w:numPr>
        <w:tabs>
          <w:tab w:val="left" w:pos="0"/>
        </w:tabs>
        <w:jc w:val="both"/>
        <w:rPr>
          <w:szCs w:val="24"/>
        </w:rPr>
      </w:pPr>
      <w:r w:rsidRPr="00025237">
        <w:rPr>
          <w:szCs w:val="24"/>
        </w:rPr>
        <w:t>m</w:t>
      </w:r>
      <w:r w:rsidR="00924C20" w:rsidRPr="00025237">
        <w:rPr>
          <w:szCs w:val="24"/>
        </w:rPr>
        <w:t>aksumaksjate arvu stabiilsuse tagab majanduslik olukord, kus pisut väheneva rahvaarvu juures tööhõive tänu pensioniea nihkumisele, elanike tervislikule seisundile ja lõimumisele paraneb, mis tagab maksumaksjate arvu stabiilsuse vähemalt järgnevaks viieks aastaks;</w:t>
      </w:r>
    </w:p>
    <w:p w:rsidR="00924C20" w:rsidRPr="00025237" w:rsidRDefault="006922C1" w:rsidP="005E1451">
      <w:pPr>
        <w:pStyle w:val="Loendilik"/>
        <w:numPr>
          <w:ilvl w:val="0"/>
          <w:numId w:val="6"/>
        </w:numPr>
        <w:tabs>
          <w:tab w:val="left" w:pos="0"/>
        </w:tabs>
        <w:jc w:val="both"/>
        <w:rPr>
          <w:szCs w:val="24"/>
        </w:rPr>
      </w:pPr>
      <w:r w:rsidRPr="00025237">
        <w:rPr>
          <w:szCs w:val="24"/>
        </w:rPr>
        <w:t>m</w:t>
      </w:r>
      <w:r w:rsidR="00924C20" w:rsidRPr="00025237">
        <w:rPr>
          <w:szCs w:val="24"/>
        </w:rPr>
        <w:t xml:space="preserve">aksumaksjate brutotulu prognoos on pigem tagasihoidlik </w:t>
      </w:r>
      <w:r w:rsidR="00A84AD3" w:rsidRPr="00025237">
        <w:rPr>
          <w:szCs w:val="24"/>
        </w:rPr>
        <w:t>ja jääb alla riigi keskvalitsus</w:t>
      </w:r>
      <w:r w:rsidR="00924C20" w:rsidRPr="00025237">
        <w:rPr>
          <w:szCs w:val="24"/>
        </w:rPr>
        <w:t xml:space="preserve">e prognoosile, mis omakorda peaks olema turvaline võttes arvesse võimalike majanduse langusest (või muudest teguritest) tingitud </w:t>
      </w:r>
      <w:r w:rsidR="00F94881" w:rsidRPr="00025237">
        <w:rPr>
          <w:szCs w:val="24"/>
        </w:rPr>
        <w:t>riske</w:t>
      </w:r>
      <w:r w:rsidR="00924C20" w:rsidRPr="00025237">
        <w:rPr>
          <w:szCs w:val="24"/>
        </w:rPr>
        <w:t>;</w:t>
      </w:r>
    </w:p>
    <w:p w:rsidR="00924C20" w:rsidRPr="00710EF6" w:rsidRDefault="006922C1" w:rsidP="005E1451">
      <w:pPr>
        <w:pStyle w:val="Loendilik"/>
        <w:numPr>
          <w:ilvl w:val="0"/>
          <w:numId w:val="6"/>
        </w:numPr>
        <w:tabs>
          <w:tab w:val="left" w:pos="0"/>
        </w:tabs>
        <w:jc w:val="both"/>
        <w:rPr>
          <w:szCs w:val="24"/>
        </w:rPr>
      </w:pPr>
      <w:r w:rsidRPr="00025237">
        <w:rPr>
          <w:szCs w:val="24"/>
        </w:rPr>
        <w:t>b</w:t>
      </w:r>
      <w:r w:rsidR="00924C20" w:rsidRPr="00025237">
        <w:rPr>
          <w:szCs w:val="24"/>
        </w:rPr>
        <w:t>rutotulu tase jääb</w:t>
      </w:r>
      <w:r w:rsidR="00924C20" w:rsidRPr="00710EF6">
        <w:rPr>
          <w:szCs w:val="24"/>
        </w:rPr>
        <w:t xml:space="preserve"> ka edaspidi riigi keskmisele tasemele.</w:t>
      </w:r>
    </w:p>
    <w:p w:rsidR="004F0C43" w:rsidRPr="005E1451" w:rsidRDefault="004F0C43" w:rsidP="00FA1A35">
      <w:pPr>
        <w:tabs>
          <w:tab w:val="left" w:pos="0"/>
        </w:tabs>
        <w:spacing w:line="276" w:lineRule="auto"/>
        <w:rPr>
          <w:lang w:val="et-EE"/>
        </w:rPr>
      </w:pPr>
      <w:r w:rsidRPr="005E1451">
        <w:rPr>
          <w:lang w:val="et-EE"/>
        </w:rPr>
        <w:t>Nimetatud areng</w:t>
      </w:r>
      <w:r w:rsidR="0071393F" w:rsidRPr="005E1451">
        <w:rPr>
          <w:lang w:val="et-EE"/>
        </w:rPr>
        <w:t xml:space="preserve">uid iseloomustab </w:t>
      </w:r>
      <w:r w:rsidRPr="005E1451">
        <w:rPr>
          <w:lang w:val="et-EE"/>
        </w:rPr>
        <w:t>j</w:t>
      </w:r>
      <w:r w:rsidR="0071393F" w:rsidRPr="005E1451">
        <w:rPr>
          <w:lang w:val="et-EE"/>
        </w:rPr>
        <w:t>oonis</w:t>
      </w:r>
      <w:r w:rsidR="00F94881" w:rsidRPr="005E1451">
        <w:rPr>
          <w:lang w:val="et-EE"/>
        </w:rPr>
        <w:t xml:space="preserve"> 1.</w:t>
      </w:r>
    </w:p>
    <w:p w:rsidR="004F0C43" w:rsidRPr="004F0C43" w:rsidRDefault="004F0C43" w:rsidP="004F0C43">
      <w:pPr>
        <w:tabs>
          <w:tab w:val="left" w:pos="0"/>
        </w:tabs>
        <w:rPr>
          <w:rFonts w:ascii="Trebuchet MS" w:hAnsi="Trebuchet MS"/>
        </w:rPr>
      </w:pPr>
    </w:p>
    <w:p w:rsidR="00924C20" w:rsidRPr="006B14A4" w:rsidRDefault="00764231" w:rsidP="00924C20">
      <w:pPr>
        <w:tabs>
          <w:tab w:val="left" w:pos="0"/>
        </w:tabs>
        <w:jc w:val="center"/>
        <w:rPr>
          <w:rFonts w:ascii="Trebuchet MS" w:hAnsi="Trebuchet MS"/>
          <w:lang w:val="et-EE"/>
        </w:rPr>
      </w:pPr>
      <w:r>
        <w:rPr>
          <w:noProof/>
          <w:lang w:val="et-EE" w:eastAsia="et-EE"/>
        </w:rPr>
        <w:lastRenderedPageBreak/>
        <w:drawing>
          <wp:inline distT="0" distB="0" distL="0" distR="0">
            <wp:extent cx="4044950" cy="2343150"/>
            <wp:effectExtent l="19050" t="0" r="12700" b="0"/>
            <wp:docPr id="10" name="Diagramm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94881" w:rsidRDefault="00F94881" w:rsidP="00924C20">
      <w:pPr>
        <w:tabs>
          <w:tab w:val="left" w:pos="0"/>
        </w:tabs>
        <w:rPr>
          <w:rFonts w:ascii="Trebuchet MS" w:hAnsi="Trebuchet MS"/>
          <w:b/>
          <w:sz w:val="22"/>
          <w:szCs w:val="22"/>
          <w:lang w:val="et-EE"/>
        </w:rPr>
      </w:pPr>
    </w:p>
    <w:p w:rsidR="00924C20" w:rsidRPr="005E1451" w:rsidRDefault="004F0C43" w:rsidP="00924C20">
      <w:pPr>
        <w:tabs>
          <w:tab w:val="left" w:pos="0"/>
        </w:tabs>
        <w:rPr>
          <w:b/>
          <w:sz w:val="20"/>
          <w:szCs w:val="20"/>
          <w:lang w:val="et-EE"/>
        </w:rPr>
      </w:pPr>
      <w:r w:rsidRPr="005E1451">
        <w:rPr>
          <w:b/>
          <w:sz w:val="20"/>
          <w:szCs w:val="20"/>
          <w:lang w:val="et-EE"/>
        </w:rPr>
        <w:t xml:space="preserve">Joonis </w:t>
      </w:r>
      <w:r w:rsidR="0071393F" w:rsidRPr="005E1451">
        <w:rPr>
          <w:b/>
          <w:sz w:val="20"/>
          <w:szCs w:val="20"/>
          <w:lang w:val="et-EE"/>
        </w:rPr>
        <w:t>1</w:t>
      </w:r>
      <w:r w:rsidRPr="005E1451">
        <w:rPr>
          <w:b/>
          <w:sz w:val="20"/>
          <w:szCs w:val="20"/>
          <w:lang w:val="et-EE"/>
        </w:rPr>
        <w:t xml:space="preserve">. Maksumaksjate </w:t>
      </w:r>
      <w:r w:rsidR="00F94881" w:rsidRPr="005E1451">
        <w:rPr>
          <w:b/>
          <w:sz w:val="20"/>
          <w:szCs w:val="20"/>
          <w:lang w:val="et-EE"/>
        </w:rPr>
        <w:t xml:space="preserve">arv </w:t>
      </w:r>
      <w:r w:rsidRPr="005E1451">
        <w:rPr>
          <w:b/>
          <w:sz w:val="20"/>
          <w:szCs w:val="20"/>
          <w:lang w:val="et-EE"/>
        </w:rPr>
        <w:t>ja keskmi</w:t>
      </w:r>
      <w:r w:rsidR="00F94881" w:rsidRPr="005E1451">
        <w:rPr>
          <w:b/>
          <w:sz w:val="20"/>
          <w:szCs w:val="20"/>
          <w:lang w:val="et-EE"/>
        </w:rPr>
        <w:t>n</w:t>
      </w:r>
      <w:r w:rsidRPr="005E1451">
        <w:rPr>
          <w:b/>
          <w:sz w:val="20"/>
          <w:szCs w:val="20"/>
          <w:lang w:val="et-EE"/>
        </w:rPr>
        <w:t xml:space="preserve">e </w:t>
      </w:r>
      <w:r w:rsidR="0071393F" w:rsidRPr="005E1451">
        <w:rPr>
          <w:b/>
          <w:sz w:val="20"/>
          <w:szCs w:val="20"/>
          <w:lang w:val="et-EE"/>
        </w:rPr>
        <w:t>bruto</w:t>
      </w:r>
      <w:r w:rsidRPr="005E1451">
        <w:rPr>
          <w:b/>
          <w:sz w:val="20"/>
          <w:szCs w:val="20"/>
          <w:lang w:val="et-EE"/>
        </w:rPr>
        <w:t>tulu</w:t>
      </w:r>
      <w:r w:rsidR="004A5842">
        <w:rPr>
          <w:b/>
          <w:sz w:val="20"/>
          <w:szCs w:val="20"/>
          <w:lang w:val="et-EE"/>
        </w:rPr>
        <w:t xml:space="preserve"> </w:t>
      </w:r>
      <w:r w:rsidR="00F94881" w:rsidRPr="005E1451">
        <w:rPr>
          <w:b/>
          <w:sz w:val="20"/>
          <w:szCs w:val="20"/>
          <w:lang w:val="et-EE"/>
        </w:rPr>
        <w:t>2013-2017,</w:t>
      </w:r>
      <w:r w:rsidRPr="005E1451">
        <w:rPr>
          <w:b/>
          <w:sz w:val="20"/>
          <w:szCs w:val="20"/>
          <w:lang w:val="et-EE"/>
        </w:rPr>
        <w:t xml:space="preserve"> prognoos</w:t>
      </w:r>
      <w:r w:rsidR="00F94881" w:rsidRPr="005E1451">
        <w:rPr>
          <w:b/>
          <w:sz w:val="20"/>
          <w:szCs w:val="20"/>
          <w:lang w:val="et-EE"/>
        </w:rPr>
        <w:t xml:space="preserve"> 2018-2023</w:t>
      </w:r>
      <w:r w:rsidR="005E1451">
        <w:rPr>
          <w:b/>
          <w:sz w:val="20"/>
          <w:szCs w:val="20"/>
          <w:lang w:val="et-EE"/>
        </w:rPr>
        <w:t>.</w:t>
      </w:r>
    </w:p>
    <w:p w:rsidR="009B13F9" w:rsidRPr="004F0C43" w:rsidRDefault="009B13F9" w:rsidP="00924C20">
      <w:pPr>
        <w:tabs>
          <w:tab w:val="left" w:pos="0"/>
        </w:tabs>
        <w:rPr>
          <w:rFonts w:ascii="Trebuchet MS" w:hAnsi="Trebuchet MS"/>
          <w:b/>
          <w:sz w:val="22"/>
          <w:szCs w:val="22"/>
          <w:lang w:val="et-EE"/>
        </w:rPr>
      </w:pPr>
    </w:p>
    <w:p w:rsidR="004F0C43" w:rsidRPr="005E1451" w:rsidRDefault="000443F6" w:rsidP="00FA1A35">
      <w:pPr>
        <w:spacing w:line="276" w:lineRule="auto"/>
        <w:jc w:val="both"/>
        <w:rPr>
          <w:lang w:val="et-EE"/>
        </w:rPr>
      </w:pPr>
      <w:r w:rsidRPr="005E1451">
        <w:rPr>
          <w:lang w:val="et-EE"/>
        </w:rPr>
        <w:t>Kümne</w:t>
      </w:r>
      <w:r w:rsidR="009B13F9" w:rsidRPr="005E1451">
        <w:rPr>
          <w:lang w:val="et-EE"/>
        </w:rPr>
        <w:t xml:space="preserve"> aasta </w:t>
      </w:r>
      <w:r w:rsidR="00F94881" w:rsidRPr="005E1451">
        <w:rPr>
          <w:lang w:val="et-EE"/>
        </w:rPr>
        <w:t>perioodis toimub maksumaksjate arvu ja keskmise brutotulu kasv</w:t>
      </w:r>
      <w:r w:rsidR="002E344D" w:rsidRPr="005E1451">
        <w:rPr>
          <w:lang w:val="et-EE"/>
        </w:rPr>
        <w:t>.</w:t>
      </w:r>
      <w:r w:rsidR="009B13F9" w:rsidRPr="005E1451">
        <w:rPr>
          <w:lang w:val="et-EE"/>
        </w:rPr>
        <w:t xml:space="preserve"> Maksumaksjate arv </w:t>
      </w:r>
      <w:r w:rsidR="002E344D" w:rsidRPr="005E1451">
        <w:rPr>
          <w:lang w:val="et-EE"/>
        </w:rPr>
        <w:t xml:space="preserve">prognoosiperioodi lõpuks stabiliseeruma </w:t>
      </w:r>
      <w:r w:rsidR="009B13F9" w:rsidRPr="005E1451">
        <w:rPr>
          <w:lang w:val="et-EE"/>
        </w:rPr>
        <w:t xml:space="preserve">ca 2650 </w:t>
      </w:r>
      <w:r w:rsidR="002E344D" w:rsidRPr="005E1451">
        <w:rPr>
          <w:lang w:val="et-EE"/>
        </w:rPr>
        <w:t xml:space="preserve">inimese </w:t>
      </w:r>
      <w:r w:rsidR="009B13F9" w:rsidRPr="005E1451">
        <w:rPr>
          <w:lang w:val="et-EE"/>
        </w:rPr>
        <w:t>juures.</w:t>
      </w:r>
      <w:r w:rsidR="0071393F" w:rsidRPr="005E1451">
        <w:rPr>
          <w:lang w:val="et-EE"/>
        </w:rPr>
        <w:t xml:space="preserve"> Keskmise brutotulu sees on ca 80-85% keskmine palk, emapalk, koondamishüvitise</w:t>
      </w:r>
      <w:r w:rsidR="00EB5462">
        <w:rPr>
          <w:lang w:val="et-EE"/>
        </w:rPr>
        <w:t>d, juhatuse-nõukogude hüvitised</w:t>
      </w:r>
      <w:r w:rsidR="0071393F" w:rsidRPr="005E1451">
        <w:rPr>
          <w:lang w:val="et-EE"/>
        </w:rPr>
        <w:t xml:space="preserve"> jne.</w:t>
      </w:r>
    </w:p>
    <w:p w:rsidR="009B13F9" w:rsidRPr="005E1451" w:rsidRDefault="009B13F9" w:rsidP="00FA1A35">
      <w:pPr>
        <w:spacing w:line="276" w:lineRule="auto"/>
        <w:jc w:val="both"/>
        <w:rPr>
          <w:lang w:val="et-EE"/>
        </w:rPr>
      </w:pPr>
    </w:p>
    <w:p w:rsidR="009B13F9" w:rsidRPr="00025237" w:rsidRDefault="009B13F9" w:rsidP="00FA1A35">
      <w:pPr>
        <w:spacing w:line="276" w:lineRule="auto"/>
        <w:jc w:val="both"/>
        <w:rPr>
          <w:lang w:val="et-EE"/>
        </w:rPr>
      </w:pPr>
      <w:r w:rsidRPr="005E1451">
        <w:rPr>
          <w:lang w:val="et-EE"/>
        </w:rPr>
        <w:t xml:space="preserve">Kindlasti on veel teisi näitajaid, mis mõjutavad kaudselt </w:t>
      </w:r>
      <w:r w:rsidR="002E344D" w:rsidRPr="005E1451">
        <w:rPr>
          <w:lang w:val="et-EE"/>
        </w:rPr>
        <w:t>füüsilise isiku tulumaksu (</w:t>
      </w:r>
      <w:r w:rsidRPr="005E1451">
        <w:rPr>
          <w:lang w:val="et-EE"/>
        </w:rPr>
        <w:t>FIT</w:t>
      </w:r>
      <w:r w:rsidR="002E344D" w:rsidRPr="005E1451">
        <w:rPr>
          <w:lang w:val="et-EE"/>
        </w:rPr>
        <w:t>)</w:t>
      </w:r>
      <w:r w:rsidRPr="005E1451">
        <w:rPr>
          <w:lang w:val="et-EE"/>
        </w:rPr>
        <w:t xml:space="preserve"> laekumist</w:t>
      </w:r>
      <w:r w:rsidR="002E344D" w:rsidRPr="005E1451">
        <w:rPr>
          <w:lang w:val="et-EE"/>
        </w:rPr>
        <w:t xml:space="preserve">. Neist olulisemad, et </w:t>
      </w:r>
      <w:r w:rsidRPr="005E1451">
        <w:rPr>
          <w:lang w:val="et-EE"/>
        </w:rPr>
        <w:t xml:space="preserve">kui palju on ühes või teises ettevõttes Viru-Nigula enda inimesi ja </w:t>
      </w:r>
      <w:r w:rsidR="002E344D" w:rsidRPr="005E1451">
        <w:rPr>
          <w:lang w:val="et-EE"/>
        </w:rPr>
        <w:t>töötajaid teistest omavalitsusüksustest ning</w:t>
      </w:r>
      <w:r w:rsidRPr="005E1451">
        <w:rPr>
          <w:lang w:val="et-EE"/>
        </w:rPr>
        <w:t xml:space="preserve"> kuivõrd see sisemine struktuur ettevõttes muutub</w:t>
      </w:r>
      <w:r w:rsidR="002E344D" w:rsidRPr="005E1451">
        <w:rPr>
          <w:lang w:val="et-EE"/>
        </w:rPr>
        <w:t xml:space="preserve">. </w:t>
      </w:r>
      <w:r w:rsidR="002E344D" w:rsidRPr="00025237">
        <w:rPr>
          <w:lang w:val="et-EE"/>
        </w:rPr>
        <w:t xml:space="preserve">Samuti </w:t>
      </w:r>
      <w:r w:rsidRPr="00025237">
        <w:rPr>
          <w:lang w:val="et-EE"/>
        </w:rPr>
        <w:t>ümbrikupalga osakaal kogu sissetulekust ja selle osakaalu muutumine p</w:t>
      </w:r>
      <w:r w:rsidR="002E344D" w:rsidRPr="00025237">
        <w:rPr>
          <w:lang w:val="et-EE"/>
        </w:rPr>
        <w:t xml:space="preserve">rognoosiperioodil, mida peetakse ka </w:t>
      </w:r>
      <w:r w:rsidRPr="00025237">
        <w:rPr>
          <w:lang w:val="et-EE"/>
        </w:rPr>
        <w:t>üleriigilise</w:t>
      </w:r>
      <w:r w:rsidR="002E344D" w:rsidRPr="00025237">
        <w:rPr>
          <w:lang w:val="et-EE"/>
        </w:rPr>
        <w:t>ks</w:t>
      </w:r>
      <w:r w:rsidRPr="00025237">
        <w:rPr>
          <w:lang w:val="et-EE"/>
        </w:rPr>
        <w:t xml:space="preserve"> probleemi</w:t>
      </w:r>
      <w:r w:rsidR="002E344D" w:rsidRPr="00025237">
        <w:rPr>
          <w:lang w:val="et-EE"/>
        </w:rPr>
        <w:t>ks</w:t>
      </w:r>
      <w:r w:rsidRPr="00025237">
        <w:rPr>
          <w:lang w:val="et-EE"/>
        </w:rPr>
        <w:t>.</w:t>
      </w:r>
      <w:r w:rsidR="00E5143C">
        <w:rPr>
          <w:lang w:val="et-EE"/>
        </w:rPr>
        <w:t xml:space="preserve"> </w:t>
      </w:r>
    </w:p>
    <w:p w:rsidR="009B13F9" w:rsidRPr="00025237" w:rsidRDefault="009B13F9" w:rsidP="00924C20">
      <w:pPr>
        <w:rPr>
          <w:rFonts w:ascii="Trebuchet MS" w:hAnsi="Trebuchet MS"/>
          <w:lang w:val="et-EE"/>
        </w:rPr>
      </w:pPr>
    </w:p>
    <w:p w:rsidR="00E5143C" w:rsidRDefault="00E5143C" w:rsidP="00FA2C32">
      <w:pPr>
        <w:pStyle w:val="Pealkiri1"/>
        <w:rPr>
          <w:color w:val="auto"/>
          <w:sz w:val="28"/>
        </w:rPr>
      </w:pPr>
      <w:bookmarkStart w:id="11" w:name="_Toc521395297"/>
    </w:p>
    <w:p w:rsidR="00924C20" w:rsidRPr="00025237" w:rsidRDefault="00B7299D" w:rsidP="00FA2C32">
      <w:pPr>
        <w:pStyle w:val="Pealkiri1"/>
        <w:rPr>
          <w:color w:val="auto"/>
          <w:sz w:val="28"/>
        </w:rPr>
      </w:pPr>
      <w:r w:rsidRPr="00025237">
        <w:rPr>
          <w:color w:val="auto"/>
          <w:sz w:val="28"/>
        </w:rPr>
        <w:t>3. Eelarvestrateegia eelarveosad</w:t>
      </w:r>
      <w:bookmarkEnd w:id="11"/>
      <w:r w:rsidRPr="00025237">
        <w:rPr>
          <w:color w:val="auto"/>
          <w:sz w:val="28"/>
        </w:rPr>
        <w:t xml:space="preserve"> </w:t>
      </w:r>
    </w:p>
    <w:p w:rsidR="002D0087" w:rsidRPr="00025237" w:rsidRDefault="002D0087" w:rsidP="00924C20">
      <w:pPr>
        <w:rPr>
          <w:rFonts w:ascii="Trebuchet MS" w:hAnsi="Trebuchet MS"/>
          <w:b/>
          <w:sz w:val="28"/>
          <w:szCs w:val="28"/>
          <w:lang w:val="et-EE"/>
        </w:rPr>
      </w:pPr>
    </w:p>
    <w:p w:rsidR="00B7299D" w:rsidRPr="00025237" w:rsidRDefault="00B7299D" w:rsidP="005E1451">
      <w:pPr>
        <w:pStyle w:val="Pealkiri2"/>
        <w:spacing w:line="276" w:lineRule="auto"/>
        <w:rPr>
          <w:rFonts w:ascii="Times New Roman" w:hAnsi="Times New Roman" w:cs="Times New Roman"/>
          <w:color w:val="auto"/>
          <w:sz w:val="24"/>
          <w:szCs w:val="24"/>
          <w:lang w:val="et-EE"/>
        </w:rPr>
      </w:pPr>
      <w:bookmarkStart w:id="12" w:name="_Toc521395298"/>
      <w:r w:rsidRPr="00025237">
        <w:rPr>
          <w:rFonts w:ascii="Times New Roman" w:hAnsi="Times New Roman" w:cs="Times New Roman"/>
          <w:color w:val="auto"/>
          <w:sz w:val="24"/>
          <w:szCs w:val="24"/>
          <w:lang w:val="et-EE"/>
        </w:rPr>
        <w:t>3.1</w:t>
      </w:r>
      <w:r w:rsidR="00D06485">
        <w:rPr>
          <w:rFonts w:ascii="Times New Roman" w:hAnsi="Times New Roman" w:cs="Times New Roman"/>
          <w:color w:val="auto"/>
          <w:sz w:val="24"/>
          <w:szCs w:val="24"/>
          <w:lang w:val="et-EE"/>
        </w:rPr>
        <w:t>.</w:t>
      </w:r>
      <w:r w:rsidRPr="00025237">
        <w:rPr>
          <w:rFonts w:ascii="Times New Roman" w:hAnsi="Times New Roman" w:cs="Times New Roman"/>
          <w:color w:val="auto"/>
          <w:sz w:val="24"/>
          <w:szCs w:val="24"/>
          <w:lang w:val="et-EE"/>
        </w:rPr>
        <w:t xml:space="preserve"> Põhitegevuse tulud</w:t>
      </w:r>
      <w:bookmarkEnd w:id="12"/>
    </w:p>
    <w:p w:rsidR="002E344D" w:rsidRPr="00025237" w:rsidRDefault="002E344D" w:rsidP="005E1451">
      <w:pPr>
        <w:spacing w:line="276" w:lineRule="auto"/>
        <w:rPr>
          <w:b/>
          <w:lang w:val="et-EE"/>
        </w:rPr>
      </w:pPr>
    </w:p>
    <w:p w:rsidR="00871989" w:rsidRPr="005E1451" w:rsidRDefault="002E344D" w:rsidP="005E1451">
      <w:pPr>
        <w:spacing w:line="276" w:lineRule="auto"/>
        <w:jc w:val="both"/>
        <w:rPr>
          <w:lang w:val="et-EE"/>
        </w:rPr>
      </w:pPr>
      <w:r w:rsidRPr="00025237">
        <w:rPr>
          <w:lang w:val="et-EE"/>
        </w:rPr>
        <w:t>Viru-Nigula</w:t>
      </w:r>
      <w:r w:rsidRPr="005E1451">
        <w:rPr>
          <w:lang w:val="et-EE"/>
        </w:rPr>
        <w:t xml:space="preserve"> valla</w:t>
      </w:r>
      <w:r w:rsidRPr="005E1451">
        <w:rPr>
          <w:b/>
          <w:lang w:val="et-EE"/>
        </w:rPr>
        <w:t xml:space="preserve"> </w:t>
      </w:r>
      <w:r w:rsidRPr="005E1451">
        <w:rPr>
          <w:lang w:val="et-EE"/>
        </w:rPr>
        <w:t xml:space="preserve">eelarvestrateegia põhitegevuse tulude prognoos on toodud tabelis 3. Selle tabeli koostamise aluseks on Rahandusministeeriumi eelarvestrateegia koostamise vorm, kus põhitegevuse tulud on jaotatud oma sisult nelja valdkonda: maksutulud, tulud kaupade, teenuste müügist, saadavad toetused ja muud tegevustulud. </w:t>
      </w:r>
    </w:p>
    <w:p w:rsidR="00924C20" w:rsidRPr="004F0C43" w:rsidRDefault="00924C20" w:rsidP="00924C20">
      <w:pPr>
        <w:rPr>
          <w:rFonts w:ascii="Trebuchet MS" w:hAnsi="Trebuchet MS"/>
          <w:b/>
          <w:sz w:val="22"/>
          <w:szCs w:val="22"/>
          <w:lang w:val="et-EE"/>
        </w:rPr>
      </w:pPr>
    </w:p>
    <w:tbl>
      <w:tblPr>
        <w:tblW w:w="9346" w:type="dxa"/>
        <w:tblCellMar>
          <w:left w:w="70" w:type="dxa"/>
          <w:right w:w="70" w:type="dxa"/>
        </w:tblCellMar>
        <w:tblLook w:val="04A0" w:firstRow="1" w:lastRow="0" w:firstColumn="1" w:lastColumn="0" w:noHBand="0" w:noVBand="1"/>
      </w:tblPr>
      <w:tblGrid>
        <w:gridCol w:w="2117"/>
        <w:gridCol w:w="1134"/>
        <w:gridCol w:w="1134"/>
        <w:gridCol w:w="992"/>
        <w:gridCol w:w="992"/>
        <w:gridCol w:w="992"/>
        <w:gridCol w:w="993"/>
        <w:gridCol w:w="992"/>
      </w:tblGrid>
      <w:tr w:rsidR="00764231" w:rsidRPr="00764231" w:rsidTr="00341EE2">
        <w:trPr>
          <w:trHeight w:val="1095"/>
        </w:trPr>
        <w:tc>
          <w:tcPr>
            <w:tcW w:w="2117" w:type="dxa"/>
            <w:tcBorders>
              <w:top w:val="single" w:sz="8" w:space="0" w:color="000000"/>
              <w:left w:val="single" w:sz="8" w:space="0" w:color="000000"/>
              <w:bottom w:val="single" w:sz="8" w:space="0" w:color="000000"/>
              <w:right w:val="nil"/>
            </w:tcBorders>
            <w:shd w:val="clear" w:color="auto" w:fill="D6E3BC" w:themeFill="accent3" w:themeFillTint="66"/>
            <w:vAlign w:val="bottom"/>
            <w:hideMark/>
          </w:tcPr>
          <w:p w:rsidR="00764231" w:rsidRPr="00764231" w:rsidRDefault="00764231" w:rsidP="00764231">
            <w:pPr>
              <w:jc w:val="center"/>
              <w:rPr>
                <w:rFonts w:ascii="Arial" w:hAnsi="Arial" w:cs="Arial"/>
                <w:b/>
                <w:bCs/>
                <w:sz w:val="16"/>
                <w:szCs w:val="16"/>
                <w:lang w:val="et-EE" w:eastAsia="et-EE"/>
              </w:rPr>
            </w:pPr>
            <w:r w:rsidRPr="00764231">
              <w:rPr>
                <w:rFonts w:ascii="Arial" w:hAnsi="Arial" w:cs="Arial"/>
                <w:b/>
                <w:bCs/>
                <w:sz w:val="16"/>
                <w:szCs w:val="16"/>
                <w:lang w:val="et-EE" w:eastAsia="et-EE"/>
              </w:rPr>
              <w:t>Viru - Nigula vald määruse nr... ja kuupäev</w:t>
            </w:r>
          </w:p>
        </w:tc>
        <w:tc>
          <w:tcPr>
            <w:tcW w:w="113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bottom"/>
            <w:hideMark/>
          </w:tcPr>
          <w:p w:rsidR="00764231" w:rsidRPr="00764231" w:rsidRDefault="00764231" w:rsidP="00764231">
            <w:pPr>
              <w:jc w:val="center"/>
              <w:rPr>
                <w:rFonts w:ascii="Arial" w:hAnsi="Arial" w:cs="Arial"/>
                <w:b/>
                <w:bCs/>
                <w:sz w:val="16"/>
                <w:szCs w:val="16"/>
                <w:lang w:val="et-EE" w:eastAsia="et-EE"/>
              </w:rPr>
            </w:pPr>
            <w:r w:rsidRPr="00764231">
              <w:rPr>
                <w:rFonts w:ascii="Arial" w:hAnsi="Arial" w:cs="Arial"/>
                <w:b/>
                <w:bCs/>
                <w:sz w:val="16"/>
                <w:szCs w:val="16"/>
                <w:lang w:val="et-EE" w:eastAsia="et-EE"/>
              </w:rPr>
              <w:t>2017 täitmine</w:t>
            </w:r>
          </w:p>
        </w:tc>
        <w:tc>
          <w:tcPr>
            <w:tcW w:w="1134"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764231" w:rsidRPr="00764231" w:rsidRDefault="00764231" w:rsidP="00764231">
            <w:pPr>
              <w:jc w:val="center"/>
              <w:rPr>
                <w:rFonts w:ascii="Arial" w:hAnsi="Arial" w:cs="Arial"/>
                <w:b/>
                <w:bCs/>
                <w:sz w:val="16"/>
                <w:szCs w:val="16"/>
                <w:lang w:val="et-EE" w:eastAsia="et-EE"/>
              </w:rPr>
            </w:pPr>
            <w:r w:rsidRPr="00764231">
              <w:rPr>
                <w:rFonts w:ascii="Arial" w:hAnsi="Arial" w:cs="Arial"/>
                <w:b/>
                <w:bCs/>
                <w:sz w:val="16"/>
                <w:szCs w:val="16"/>
                <w:lang w:val="et-EE" w:eastAsia="et-EE"/>
              </w:rPr>
              <w:t>2018 eeldatav täitmine</w:t>
            </w:r>
          </w:p>
        </w:tc>
        <w:tc>
          <w:tcPr>
            <w:tcW w:w="99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764231" w:rsidRPr="00764231" w:rsidRDefault="00764231" w:rsidP="00764231">
            <w:pPr>
              <w:jc w:val="center"/>
              <w:rPr>
                <w:rFonts w:ascii="Arial" w:hAnsi="Arial" w:cs="Arial"/>
                <w:b/>
                <w:bCs/>
                <w:sz w:val="16"/>
                <w:szCs w:val="16"/>
                <w:lang w:val="et-EE" w:eastAsia="et-EE"/>
              </w:rPr>
            </w:pPr>
            <w:r w:rsidRPr="00764231">
              <w:rPr>
                <w:rFonts w:ascii="Arial" w:hAnsi="Arial" w:cs="Arial"/>
                <w:b/>
                <w:bCs/>
                <w:sz w:val="16"/>
                <w:szCs w:val="16"/>
                <w:lang w:val="et-EE" w:eastAsia="et-EE"/>
              </w:rPr>
              <w:t xml:space="preserve">2019 eelarve  </w:t>
            </w:r>
          </w:p>
        </w:tc>
        <w:tc>
          <w:tcPr>
            <w:tcW w:w="99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764231" w:rsidRPr="00764231" w:rsidRDefault="00764231" w:rsidP="00764231">
            <w:pPr>
              <w:jc w:val="center"/>
              <w:rPr>
                <w:rFonts w:ascii="Arial" w:hAnsi="Arial" w:cs="Arial"/>
                <w:b/>
                <w:bCs/>
                <w:sz w:val="16"/>
                <w:szCs w:val="16"/>
                <w:lang w:val="et-EE" w:eastAsia="et-EE"/>
              </w:rPr>
            </w:pPr>
            <w:r w:rsidRPr="00764231">
              <w:rPr>
                <w:rFonts w:ascii="Arial" w:hAnsi="Arial" w:cs="Arial"/>
                <w:b/>
                <w:bCs/>
                <w:sz w:val="16"/>
                <w:szCs w:val="16"/>
                <w:lang w:val="et-EE" w:eastAsia="et-EE"/>
              </w:rPr>
              <w:t xml:space="preserve">2020 eelarve  </w:t>
            </w:r>
          </w:p>
        </w:tc>
        <w:tc>
          <w:tcPr>
            <w:tcW w:w="99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764231" w:rsidRPr="00764231" w:rsidRDefault="00764231" w:rsidP="00764231">
            <w:pPr>
              <w:jc w:val="center"/>
              <w:rPr>
                <w:rFonts w:ascii="Arial" w:hAnsi="Arial" w:cs="Arial"/>
                <w:b/>
                <w:bCs/>
                <w:sz w:val="16"/>
                <w:szCs w:val="16"/>
                <w:lang w:val="et-EE" w:eastAsia="et-EE"/>
              </w:rPr>
            </w:pPr>
            <w:r w:rsidRPr="00764231">
              <w:rPr>
                <w:rFonts w:ascii="Arial" w:hAnsi="Arial" w:cs="Arial"/>
                <w:b/>
                <w:bCs/>
                <w:sz w:val="16"/>
                <w:szCs w:val="16"/>
                <w:lang w:val="et-EE" w:eastAsia="et-EE"/>
              </w:rPr>
              <w:t xml:space="preserve">2021 eelarve  </w:t>
            </w:r>
          </w:p>
        </w:tc>
        <w:tc>
          <w:tcPr>
            <w:tcW w:w="993"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764231" w:rsidRPr="00764231" w:rsidRDefault="00764231" w:rsidP="00764231">
            <w:pPr>
              <w:jc w:val="center"/>
              <w:rPr>
                <w:rFonts w:ascii="Arial" w:hAnsi="Arial" w:cs="Arial"/>
                <w:b/>
                <w:bCs/>
                <w:sz w:val="16"/>
                <w:szCs w:val="16"/>
                <w:lang w:val="et-EE" w:eastAsia="et-EE"/>
              </w:rPr>
            </w:pPr>
            <w:r w:rsidRPr="00764231">
              <w:rPr>
                <w:rFonts w:ascii="Arial" w:hAnsi="Arial" w:cs="Arial"/>
                <w:b/>
                <w:bCs/>
                <w:sz w:val="16"/>
                <w:szCs w:val="16"/>
                <w:lang w:val="et-EE" w:eastAsia="et-EE"/>
              </w:rPr>
              <w:t xml:space="preserve">2022 eelarve  </w:t>
            </w:r>
          </w:p>
        </w:tc>
        <w:tc>
          <w:tcPr>
            <w:tcW w:w="992" w:type="dxa"/>
            <w:tcBorders>
              <w:top w:val="single" w:sz="8" w:space="0" w:color="000000"/>
              <w:left w:val="nil"/>
              <w:bottom w:val="single" w:sz="8" w:space="0" w:color="000000"/>
              <w:right w:val="single" w:sz="4" w:space="0" w:color="000000"/>
            </w:tcBorders>
            <w:shd w:val="clear" w:color="auto" w:fill="D6E3BC" w:themeFill="accent3" w:themeFillTint="66"/>
            <w:vAlign w:val="bottom"/>
            <w:hideMark/>
          </w:tcPr>
          <w:p w:rsidR="00764231" w:rsidRPr="00764231" w:rsidRDefault="00764231" w:rsidP="00764231">
            <w:pPr>
              <w:jc w:val="center"/>
              <w:rPr>
                <w:rFonts w:ascii="Arial" w:hAnsi="Arial" w:cs="Arial"/>
                <w:b/>
                <w:bCs/>
                <w:sz w:val="16"/>
                <w:szCs w:val="16"/>
                <w:lang w:val="et-EE" w:eastAsia="et-EE"/>
              </w:rPr>
            </w:pPr>
            <w:r w:rsidRPr="00764231">
              <w:rPr>
                <w:rFonts w:ascii="Arial" w:hAnsi="Arial" w:cs="Arial"/>
                <w:b/>
                <w:bCs/>
                <w:sz w:val="16"/>
                <w:szCs w:val="16"/>
                <w:lang w:val="et-EE" w:eastAsia="et-EE"/>
              </w:rPr>
              <w:t xml:space="preserve">2023 eelarve  </w:t>
            </w:r>
          </w:p>
        </w:tc>
      </w:tr>
      <w:tr w:rsidR="00764231" w:rsidRPr="00341EE2" w:rsidTr="00341EE2">
        <w:trPr>
          <w:trHeight w:val="255"/>
        </w:trPr>
        <w:tc>
          <w:tcPr>
            <w:tcW w:w="2117" w:type="dxa"/>
            <w:tcBorders>
              <w:top w:val="nil"/>
              <w:left w:val="single" w:sz="8" w:space="0" w:color="000000"/>
              <w:bottom w:val="single" w:sz="4" w:space="0" w:color="000000"/>
              <w:right w:val="nil"/>
            </w:tcBorders>
            <w:shd w:val="clear" w:color="auto" w:fill="auto"/>
            <w:noWrap/>
            <w:vAlign w:val="bottom"/>
            <w:hideMark/>
          </w:tcPr>
          <w:p w:rsidR="00764231" w:rsidRPr="00764231" w:rsidRDefault="00764231" w:rsidP="00764231">
            <w:pPr>
              <w:rPr>
                <w:rFonts w:ascii="Arial" w:hAnsi="Arial" w:cs="Arial"/>
                <w:b/>
                <w:bCs/>
                <w:sz w:val="16"/>
                <w:szCs w:val="16"/>
                <w:lang w:val="et-EE" w:eastAsia="et-EE"/>
              </w:rPr>
            </w:pPr>
            <w:r w:rsidRPr="00764231">
              <w:rPr>
                <w:rFonts w:ascii="Arial" w:hAnsi="Arial" w:cs="Arial"/>
                <w:b/>
                <w:bCs/>
                <w:sz w:val="16"/>
                <w:szCs w:val="16"/>
                <w:lang w:val="et-EE" w:eastAsia="et-EE"/>
              </w:rPr>
              <w:t>Põhitegevuse tulud kokku</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b/>
                <w:bCs/>
                <w:sz w:val="16"/>
                <w:szCs w:val="16"/>
                <w:lang w:val="et-EE" w:eastAsia="et-EE"/>
              </w:rPr>
            </w:pPr>
            <w:r w:rsidRPr="00341EE2">
              <w:rPr>
                <w:rFonts w:ascii="Arial" w:hAnsi="Arial" w:cs="Arial"/>
                <w:b/>
                <w:bCs/>
                <w:sz w:val="16"/>
                <w:szCs w:val="16"/>
                <w:lang w:val="et-EE" w:eastAsia="et-EE"/>
              </w:rPr>
              <w:t>7 631 318</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b/>
                <w:bCs/>
                <w:sz w:val="16"/>
                <w:szCs w:val="16"/>
                <w:lang w:val="et-EE" w:eastAsia="et-EE"/>
              </w:rPr>
            </w:pPr>
            <w:r w:rsidRPr="00341EE2">
              <w:rPr>
                <w:rFonts w:ascii="Arial" w:hAnsi="Arial" w:cs="Arial"/>
                <w:b/>
                <w:bCs/>
                <w:sz w:val="16"/>
                <w:szCs w:val="16"/>
                <w:lang w:val="et-EE" w:eastAsia="et-EE"/>
              </w:rPr>
              <w:t>8 274 143</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b/>
                <w:bCs/>
                <w:sz w:val="16"/>
                <w:szCs w:val="16"/>
                <w:lang w:val="et-EE" w:eastAsia="et-EE"/>
              </w:rPr>
            </w:pPr>
            <w:r w:rsidRPr="00341EE2">
              <w:rPr>
                <w:rFonts w:ascii="Arial" w:hAnsi="Arial" w:cs="Arial"/>
                <w:b/>
                <w:bCs/>
                <w:sz w:val="16"/>
                <w:szCs w:val="16"/>
                <w:lang w:val="et-EE" w:eastAsia="et-EE"/>
              </w:rPr>
              <w:t>8 479 342</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b/>
                <w:bCs/>
                <w:sz w:val="16"/>
                <w:szCs w:val="16"/>
                <w:lang w:val="et-EE" w:eastAsia="et-EE"/>
              </w:rPr>
            </w:pPr>
            <w:r w:rsidRPr="00341EE2">
              <w:rPr>
                <w:rFonts w:ascii="Arial" w:hAnsi="Arial" w:cs="Arial"/>
                <w:b/>
                <w:bCs/>
                <w:sz w:val="16"/>
                <w:szCs w:val="16"/>
                <w:lang w:val="et-EE" w:eastAsia="et-EE"/>
              </w:rPr>
              <w:t>8 459 170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b/>
                <w:bCs/>
                <w:sz w:val="16"/>
                <w:szCs w:val="16"/>
                <w:lang w:val="et-EE" w:eastAsia="et-EE"/>
              </w:rPr>
            </w:pPr>
            <w:r w:rsidRPr="00341EE2">
              <w:rPr>
                <w:rFonts w:ascii="Arial" w:hAnsi="Arial" w:cs="Arial"/>
                <w:b/>
                <w:bCs/>
                <w:sz w:val="16"/>
                <w:szCs w:val="16"/>
                <w:lang w:val="et-EE" w:eastAsia="et-EE"/>
              </w:rPr>
              <w:t>8 607 611</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b/>
                <w:bCs/>
                <w:sz w:val="16"/>
                <w:szCs w:val="16"/>
                <w:lang w:val="et-EE" w:eastAsia="et-EE"/>
              </w:rPr>
            </w:pPr>
            <w:r w:rsidRPr="00341EE2">
              <w:rPr>
                <w:rFonts w:ascii="Arial" w:hAnsi="Arial" w:cs="Arial"/>
                <w:b/>
                <w:bCs/>
                <w:sz w:val="16"/>
                <w:szCs w:val="16"/>
                <w:lang w:val="et-EE" w:eastAsia="et-EE"/>
              </w:rPr>
              <w:t>8 749 962</w:t>
            </w:r>
          </w:p>
        </w:tc>
        <w:tc>
          <w:tcPr>
            <w:tcW w:w="992" w:type="dxa"/>
            <w:tcBorders>
              <w:top w:val="nil"/>
              <w:left w:val="nil"/>
              <w:bottom w:val="single" w:sz="4" w:space="0" w:color="000000"/>
              <w:right w:val="single" w:sz="8" w:space="0" w:color="000000"/>
            </w:tcBorders>
            <w:shd w:val="clear" w:color="auto" w:fill="FFFFFF" w:themeFill="background1"/>
            <w:vAlign w:val="bottom"/>
            <w:hideMark/>
          </w:tcPr>
          <w:p w:rsidR="00764231" w:rsidRPr="00341EE2" w:rsidRDefault="00764231" w:rsidP="00764231">
            <w:pPr>
              <w:jc w:val="right"/>
              <w:rPr>
                <w:rFonts w:ascii="Arial" w:hAnsi="Arial" w:cs="Arial"/>
                <w:b/>
                <w:bCs/>
                <w:sz w:val="16"/>
                <w:szCs w:val="16"/>
                <w:lang w:val="et-EE" w:eastAsia="et-EE"/>
              </w:rPr>
            </w:pPr>
            <w:r w:rsidRPr="00341EE2">
              <w:rPr>
                <w:rFonts w:ascii="Arial" w:hAnsi="Arial" w:cs="Arial"/>
                <w:b/>
                <w:bCs/>
                <w:sz w:val="16"/>
                <w:szCs w:val="16"/>
                <w:lang w:val="et-EE" w:eastAsia="et-EE"/>
              </w:rPr>
              <w:t>8 888 355</w:t>
            </w:r>
          </w:p>
        </w:tc>
      </w:tr>
      <w:tr w:rsidR="00764231" w:rsidRPr="00341EE2" w:rsidTr="00341EE2">
        <w:trPr>
          <w:trHeight w:val="225"/>
        </w:trPr>
        <w:tc>
          <w:tcPr>
            <w:tcW w:w="2117" w:type="dxa"/>
            <w:tcBorders>
              <w:top w:val="nil"/>
              <w:left w:val="single" w:sz="8" w:space="0" w:color="000000"/>
              <w:bottom w:val="single" w:sz="4" w:space="0" w:color="000000"/>
              <w:right w:val="nil"/>
            </w:tcBorders>
            <w:shd w:val="clear" w:color="auto" w:fill="auto"/>
            <w:noWrap/>
            <w:vAlign w:val="bottom"/>
            <w:hideMark/>
          </w:tcPr>
          <w:p w:rsidR="00764231" w:rsidRPr="00764231" w:rsidRDefault="00764231" w:rsidP="00764231">
            <w:pPr>
              <w:rPr>
                <w:rFonts w:ascii="Arial" w:hAnsi="Arial" w:cs="Arial"/>
                <w:sz w:val="16"/>
                <w:szCs w:val="16"/>
                <w:lang w:val="et-EE" w:eastAsia="et-EE"/>
              </w:rPr>
            </w:pPr>
            <w:r w:rsidRPr="00764231">
              <w:rPr>
                <w:rFonts w:ascii="Arial" w:hAnsi="Arial" w:cs="Arial"/>
                <w:sz w:val="16"/>
                <w:szCs w:val="16"/>
                <w:lang w:val="et-EE" w:eastAsia="et-EE"/>
              </w:rPr>
              <w:t xml:space="preserve">     Maksutulud</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3 793 407</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3 958 000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4 209 342</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4 339 170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4 467 611</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4 589 962</w:t>
            </w:r>
          </w:p>
        </w:tc>
        <w:tc>
          <w:tcPr>
            <w:tcW w:w="992" w:type="dxa"/>
            <w:tcBorders>
              <w:top w:val="nil"/>
              <w:left w:val="nil"/>
              <w:bottom w:val="single" w:sz="4" w:space="0" w:color="000000"/>
              <w:right w:val="single" w:sz="8" w:space="0" w:color="000000"/>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4 718 355</w:t>
            </w:r>
          </w:p>
        </w:tc>
      </w:tr>
      <w:tr w:rsidR="00764231" w:rsidRPr="00341EE2" w:rsidTr="00341EE2">
        <w:trPr>
          <w:trHeight w:val="225"/>
        </w:trPr>
        <w:tc>
          <w:tcPr>
            <w:tcW w:w="2117" w:type="dxa"/>
            <w:tcBorders>
              <w:top w:val="nil"/>
              <w:left w:val="single" w:sz="8" w:space="0" w:color="000000"/>
              <w:bottom w:val="single" w:sz="4" w:space="0" w:color="000000"/>
              <w:right w:val="nil"/>
            </w:tcBorders>
            <w:shd w:val="clear" w:color="auto" w:fill="auto"/>
            <w:noWrap/>
            <w:vAlign w:val="bottom"/>
            <w:hideMark/>
          </w:tcPr>
          <w:p w:rsidR="00764231" w:rsidRPr="00764231" w:rsidRDefault="00764231" w:rsidP="00764231">
            <w:pPr>
              <w:rPr>
                <w:rFonts w:ascii="Arial" w:hAnsi="Arial" w:cs="Arial"/>
                <w:sz w:val="16"/>
                <w:szCs w:val="16"/>
                <w:lang w:val="et-EE" w:eastAsia="et-EE"/>
              </w:rPr>
            </w:pPr>
            <w:r w:rsidRPr="00764231">
              <w:rPr>
                <w:rFonts w:ascii="Arial" w:hAnsi="Arial" w:cs="Arial"/>
                <w:sz w:val="16"/>
                <w:szCs w:val="16"/>
                <w:lang w:val="et-EE" w:eastAsia="et-EE"/>
              </w:rPr>
              <w:t xml:space="preserve">          sh tulumaks</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3 613 221</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3 775 000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4 024 342</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4 142 170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4 270 611</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4 392 962</w:t>
            </w:r>
          </w:p>
        </w:tc>
        <w:tc>
          <w:tcPr>
            <w:tcW w:w="992" w:type="dxa"/>
            <w:tcBorders>
              <w:top w:val="nil"/>
              <w:left w:val="nil"/>
              <w:bottom w:val="single" w:sz="4" w:space="0" w:color="000000"/>
              <w:right w:val="single" w:sz="4" w:space="0" w:color="000000"/>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4 521 355</w:t>
            </w:r>
          </w:p>
        </w:tc>
      </w:tr>
      <w:tr w:rsidR="00764231" w:rsidRPr="00341EE2" w:rsidTr="00341EE2">
        <w:trPr>
          <w:trHeight w:val="225"/>
        </w:trPr>
        <w:tc>
          <w:tcPr>
            <w:tcW w:w="2117" w:type="dxa"/>
            <w:tcBorders>
              <w:top w:val="nil"/>
              <w:left w:val="single" w:sz="8" w:space="0" w:color="000000"/>
              <w:bottom w:val="single" w:sz="4" w:space="0" w:color="000000"/>
              <w:right w:val="nil"/>
            </w:tcBorders>
            <w:shd w:val="clear" w:color="auto" w:fill="auto"/>
            <w:noWrap/>
            <w:vAlign w:val="bottom"/>
            <w:hideMark/>
          </w:tcPr>
          <w:p w:rsidR="00764231" w:rsidRPr="00764231" w:rsidRDefault="00764231" w:rsidP="00764231">
            <w:pPr>
              <w:rPr>
                <w:rFonts w:ascii="Arial" w:hAnsi="Arial" w:cs="Arial"/>
                <w:sz w:val="16"/>
                <w:szCs w:val="16"/>
                <w:lang w:val="et-EE" w:eastAsia="et-EE"/>
              </w:rPr>
            </w:pPr>
            <w:r w:rsidRPr="00764231">
              <w:rPr>
                <w:rFonts w:ascii="Arial" w:hAnsi="Arial" w:cs="Arial"/>
                <w:sz w:val="16"/>
                <w:szCs w:val="16"/>
                <w:lang w:val="et-EE" w:eastAsia="et-EE"/>
              </w:rPr>
              <w:lastRenderedPageBreak/>
              <w:t xml:space="preserve">          sh maamaks</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180 186</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183 000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185 000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197 000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197 000</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197 000</w:t>
            </w:r>
          </w:p>
        </w:tc>
        <w:tc>
          <w:tcPr>
            <w:tcW w:w="992" w:type="dxa"/>
            <w:tcBorders>
              <w:top w:val="nil"/>
              <w:left w:val="nil"/>
              <w:bottom w:val="single" w:sz="4" w:space="0" w:color="000000"/>
              <w:right w:val="single" w:sz="4" w:space="0" w:color="000000"/>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197 000</w:t>
            </w:r>
          </w:p>
        </w:tc>
      </w:tr>
      <w:tr w:rsidR="00764231" w:rsidRPr="00341EE2" w:rsidTr="00341EE2">
        <w:trPr>
          <w:trHeight w:val="225"/>
        </w:trPr>
        <w:tc>
          <w:tcPr>
            <w:tcW w:w="2117" w:type="dxa"/>
            <w:tcBorders>
              <w:top w:val="nil"/>
              <w:left w:val="single" w:sz="8" w:space="0" w:color="000000"/>
              <w:bottom w:val="single" w:sz="4" w:space="0" w:color="000000"/>
              <w:right w:val="nil"/>
            </w:tcBorders>
            <w:shd w:val="clear" w:color="auto" w:fill="auto"/>
            <w:noWrap/>
            <w:vAlign w:val="bottom"/>
            <w:hideMark/>
          </w:tcPr>
          <w:p w:rsidR="00764231" w:rsidRPr="00764231" w:rsidRDefault="00764231" w:rsidP="00764231">
            <w:pPr>
              <w:rPr>
                <w:rFonts w:ascii="Arial" w:hAnsi="Arial" w:cs="Arial"/>
                <w:sz w:val="16"/>
                <w:szCs w:val="16"/>
                <w:lang w:val="et-EE" w:eastAsia="et-EE"/>
              </w:rPr>
            </w:pPr>
            <w:r w:rsidRPr="00764231">
              <w:rPr>
                <w:rFonts w:ascii="Arial" w:hAnsi="Arial" w:cs="Arial"/>
                <w:sz w:val="16"/>
                <w:szCs w:val="16"/>
                <w:lang w:val="et-EE" w:eastAsia="et-EE"/>
              </w:rPr>
              <w:t xml:space="preserve">          sh muud maksutulud</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0</w:t>
            </w:r>
          </w:p>
        </w:tc>
        <w:tc>
          <w:tcPr>
            <w:tcW w:w="992" w:type="dxa"/>
            <w:tcBorders>
              <w:top w:val="nil"/>
              <w:left w:val="nil"/>
              <w:bottom w:val="single" w:sz="4" w:space="0" w:color="000000"/>
              <w:right w:val="single" w:sz="4" w:space="0" w:color="000000"/>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0</w:t>
            </w:r>
          </w:p>
        </w:tc>
      </w:tr>
      <w:tr w:rsidR="00764231" w:rsidRPr="00341EE2" w:rsidTr="00341EE2">
        <w:trPr>
          <w:trHeight w:val="225"/>
        </w:trPr>
        <w:tc>
          <w:tcPr>
            <w:tcW w:w="2117" w:type="dxa"/>
            <w:tcBorders>
              <w:top w:val="nil"/>
              <w:left w:val="single" w:sz="8" w:space="0" w:color="000000"/>
              <w:bottom w:val="single" w:sz="4" w:space="0" w:color="000000"/>
              <w:right w:val="nil"/>
            </w:tcBorders>
            <w:shd w:val="clear" w:color="auto" w:fill="auto"/>
            <w:noWrap/>
            <w:vAlign w:val="bottom"/>
            <w:hideMark/>
          </w:tcPr>
          <w:p w:rsidR="00764231" w:rsidRPr="00764231" w:rsidRDefault="00764231" w:rsidP="00764231">
            <w:pPr>
              <w:rPr>
                <w:rFonts w:ascii="Arial" w:hAnsi="Arial" w:cs="Arial"/>
                <w:sz w:val="16"/>
                <w:szCs w:val="16"/>
                <w:lang w:val="et-EE" w:eastAsia="et-EE"/>
              </w:rPr>
            </w:pPr>
            <w:r w:rsidRPr="00764231">
              <w:rPr>
                <w:rFonts w:ascii="Arial" w:hAnsi="Arial" w:cs="Arial"/>
                <w:sz w:val="16"/>
                <w:szCs w:val="16"/>
                <w:lang w:val="et-EE" w:eastAsia="et-EE"/>
              </w:rPr>
              <w:t xml:space="preserve">    Tulud kaupade ja teenuste müügist</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916 892</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870 053</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880 000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900 000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910 000</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920 000</w:t>
            </w:r>
          </w:p>
        </w:tc>
        <w:tc>
          <w:tcPr>
            <w:tcW w:w="992" w:type="dxa"/>
            <w:tcBorders>
              <w:top w:val="nil"/>
              <w:left w:val="nil"/>
              <w:bottom w:val="single" w:sz="4" w:space="0" w:color="000000"/>
              <w:right w:val="single" w:sz="4" w:space="0" w:color="000000"/>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920 000</w:t>
            </w:r>
          </w:p>
        </w:tc>
      </w:tr>
      <w:tr w:rsidR="00764231" w:rsidRPr="00341EE2" w:rsidTr="00341EE2">
        <w:trPr>
          <w:trHeight w:val="225"/>
        </w:trPr>
        <w:tc>
          <w:tcPr>
            <w:tcW w:w="2117" w:type="dxa"/>
            <w:tcBorders>
              <w:top w:val="nil"/>
              <w:left w:val="single" w:sz="8" w:space="0" w:color="000000"/>
              <w:bottom w:val="single" w:sz="4" w:space="0" w:color="000000"/>
              <w:right w:val="nil"/>
            </w:tcBorders>
            <w:shd w:val="clear" w:color="auto" w:fill="auto"/>
            <w:noWrap/>
            <w:vAlign w:val="bottom"/>
            <w:hideMark/>
          </w:tcPr>
          <w:p w:rsidR="00764231" w:rsidRPr="00764231" w:rsidRDefault="00764231" w:rsidP="00764231">
            <w:pPr>
              <w:rPr>
                <w:rFonts w:ascii="Arial" w:hAnsi="Arial" w:cs="Arial"/>
                <w:sz w:val="16"/>
                <w:szCs w:val="16"/>
                <w:lang w:val="et-EE" w:eastAsia="et-EE"/>
              </w:rPr>
            </w:pPr>
            <w:r w:rsidRPr="00764231">
              <w:rPr>
                <w:rFonts w:ascii="Arial" w:hAnsi="Arial" w:cs="Arial"/>
                <w:sz w:val="16"/>
                <w:szCs w:val="16"/>
                <w:lang w:val="et-EE" w:eastAsia="et-EE"/>
              </w:rPr>
              <w:t xml:space="preserve">    Saadavad toetused tegevuskuludeks</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2 833 660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3 370 790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3 310 000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3 140 000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3 150 000</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3 160 000</w:t>
            </w:r>
          </w:p>
        </w:tc>
        <w:tc>
          <w:tcPr>
            <w:tcW w:w="992" w:type="dxa"/>
            <w:tcBorders>
              <w:top w:val="nil"/>
              <w:left w:val="nil"/>
              <w:bottom w:val="single" w:sz="4" w:space="0" w:color="000000"/>
              <w:right w:val="single" w:sz="8" w:space="0" w:color="000000"/>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3 170 000</w:t>
            </w:r>
          </w:p>
        </w:tc>
      </w:tr>
      <w:tr w:rsidR="00764231" w:rsidRPr="00341EE2" w:rsidTr="00341EE2">
        <w:trPr>
          <w:trHeight w:val="225"/>
        </w:trPr>
        <w:tc>
          <w:tcPr>
            <w:tcW w:w="2117" w:type="dxa"/>
            <w:tcBorders>
              <w:top w:val="nil"/>
              <w:left w:val="single" w:sz="8" w:space="0" w:color="000000"/>
              <w:bottom w:val="single" w:sz="4" w:space="0" w:color="000000"/>
              <w:right w:val="nil"/>
            </w:tcBorders>
            <w:shd w:val="clear" w:color="auto" w:fill="auto"/>
            <w:noWrap/>
            <w:vAlign w:val="bottom"/>
            <w:hideMark/>
          </w:tcPr>
          <w:p w:rsidR="00764231" w:rsidRPr="00764231" w:rsidRDefault="00764231" w:rsidP="00764231">
            <w:pPr>
              <w:rPr>
                <w:rFonts w:ascii="Arial" w:hAnsi="Arial" w:cs="Arial"/>
                <w:sz w:val="16"/>
                <w:szCs w:val="16"/>
                <w:lang w:val="et-EE" w:eastAsia="et-EE"/>
              </w:rPr>
            </w:pPr>
            <w:r w:rsidRPr="00764231">
              <w:rPr>
                <w:rFonts w:ascii="Arial" w:hAnsi="Arial" w:cs="Arial"/>
                <w:sz w:val="16"/>
                <w:szCs w:val="16"/>
                <w:lang w:val="et-EE" w:eastAsia="et-EE"/>
              </w:rPr>
              <w:t xml:space="preserve">         sh  tasandusfond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476 413</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630 654</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640 000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640 000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640 000</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640 000</w:t>
            </w:r>
          </w:p>
        </w:tc>
        <w:tc>
          <w:tcPr>
            <w:tcW w:w="992" w:type="dxa"/>
            <w:tcBorders>
              <w:top w:val="nil"/>
              <w:left w:val="nil"/>
              <w:bottom w:val="single" w:sz="4" w:space="0" w:color="000000"/>
              <w:right w:val="single" w:sz="4" w:space="0" w:color="000000"/>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640 000</w:t>
            </w:r>
          </w:p>
        </w:tc>
      </w:tr>
      <w:tr w:rsidR="00764231" w:rsidRPr="00341EE2" w:rsidTr="00341EE2">
        <w:trPr>
          <w:trHeight w:val="225"/>
        </w:trPr>
        <w:tc>
          <w:tcPr>
            <w:tcW w:w="2117" w:type="dxa"/>
            <w:tcBorders>
              <w:top w:val="nil"/>
              <w:left w:val="single" w:sz="8" w:space="0" w:color="000000"/>
              <w:bottom w:val="single" w:sz="4" w:space="0" w:color="000000"/>
              <w:right w:val="nil"/>
            </w:tcBorders>
            <w:shd w:val="clear" w:color="auto" w:fill="auto"/>
            <w:noWrap/>
            <w:vAlign w:val="bottom"/>
            <w:hideMark/>
          </w:tcPr>
          <w:p w:rsidR="00764231" w:rsidRPr="00764231" w:rsidRDefault="00764231" w:rsidP="00764231">
            <w:pPr>
              <w:rPr>
                <w:rFonts w:ascii="Arial" w:hAnsi="Arial" w:cs="Arial"/>
                <w:sz w:val="16"/>
                <w:szCs w:val="16"/>
                <w:lang w:val="et-EE" w:eastAsia="et-EE"/>
              </w:rPr>
            </w:pPr>
            <w:r w:rsidRPr="00764231">
              <w:rPr>
                <w:rFonts w:ascii="Arial" w:hAnsi="Arial" w:cs="Arial"/>
                <w:sz w:val="16"/>
                <w:szCs w:val="16"/>
                <w:lang w:val="et-EE" w:eastAsia="et-EE"/>
              </w:rPr>
              <w:t xml:space="preserve">         sh  toetusfond</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1 832 640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2 229 914</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2 270 000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2 300 000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2 310 000</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2 320 000</w:t>
            </w:r>
          </w:p>
        </w:tc>
        <w:tc>
          <w:tcPr>
            <w:tcW w:w="992" w:type="dxa"/>
            <w:tcBorders>
              <w:top w:val="nil"/>
              <w:left w:val="nil"/>
              <w:bottom w:val="single" w:sz="4" w:space="0" w:color="000000"/>
              <w:right w:val="single" w:sz="4" w:space="0" w:color="000000"/>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2 330 000</w:t>
            </w:r>
          </w:p>
        </w:tc>
      </w:tr>
      <w:tr w:rsidR="00764231" w:rsidRPr="00341EE2" w:rsidTr="00341EE2">
        <w:trPr>
          <w:trHeight w:val="225"/>
        </w:trPr>
        <w:tc>
          <w:tcPr>
            <w:tcW w:w="2117" w:type="dxa"/>
            <w:tcBorders>
              <w:top w:val="nil"/>
              <w:left w:val="single" w:sz="8" w:space="0" w:color="000000"/>
              <w:bottom w:val="single" w:sz="4" w:space="0" w:color="000000"/>
              <w:right w:val="nil"/>
            </w:tcBorders>
            <w:shd w:val="clear" w:color="auto" w:fill="auto"/>
            <w:noWrap/>
            <w:vAlign w:val="bottom"/>
            <w:hideMark/>
          </w:tcPr>
          <w:p w:rsidR="00764231" w:rsidRPr="00764231" w:rsidRDefault="00764231" w:rsidP="00764231">
            <w:pPr>
              <w:rPr>
                <w:rFonts w:ascii="Arial" w:hAnsi="Arial" w:cs="Arial"/>
                <w:sz w:val="16"/>
                <w:szCs w:val="16"/>
                <w:lang w:val="et-EE" w:eastAsia="et-EE"/>
              </w:rPr>
            </w:pPr>
            <w:r w:rsidRPr="00764231">
              <w:rPr>
                <w:rFonts w:ascii="Arial" w:hAnsi="Arial" w:cs="Arial"/>
                <w:sz w:val="16"/>
                <w:szCs w:val="16"/>
                <w:lang w:val="et-EE" w:eastAsia="et-EE"/>
              </w:rPr>
              <w:t xml:space="preserve">         sh muud saadud toetused tegevuskuludeks</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524 607</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510 222</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400 000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200 000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200 000</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200 000</w:t>
            </w:r>
          </w:p>
        </w:tc>
        <w:tc>
          <w:tcPr>
            <w:tcW w:w="992" w:type="dxa"/>
            <w:tcBorders>
              <w:top w:val="nil"/>
              <w:left w:val="nil"/>
              <w:bottom w:val="single" w:sz="4" w:space="0" w:color="000000"/>
              <w:right w:val="single" w:sz="4" w:space="0" w:color="000000"/>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200 000</w:t>
            </w:r>
          </w:p>
        </w:tc>
      </w:tr>
      <w:tr w:rsidR="00764231" w:rsidRPr="00341EE2" w:rsidTr="00341EE2">
        <w:trPr>
          <w:trHeight w:val="225"/>
        </w:trPr>
        <w:tc>
          <w:tcPr>
            <w:tcW w:w="2117" w:type="dxa"/>
            <w:tcBorders>
              <w:top w:val="nil"/>
              <w:left w:val="single" w:sz="8" w:space="0" w:color="000000"/>
              <w:bottom w:val="single" w:sz="4" w:space="0" w:color="000000"/>
              <w:right w:val="nil"/>
            </w:tcBorders>
            <w:shd w:val="clear" w:color="auto" w:fill="auto"/>
            <w:noWrap/>
            <w:vAlign w:val="bottom"/>
            <w:hideMark/>
          </w:tcPr>
          <w:p w:rsidR="00764231" w:rsidRPr="00764231" w:rsidRDefault="00764231" w:rsidP="00764231">
            <w:pPr>
              <w:rPr>
                <w:rFonts w:ascii="Arial" w:hAnsi="Arial" w:cs="Arial"/>
                <w:sz w:val="16"/>
                <w:szCs w:val="16"/>
                <w:lang w:val="et-EE" w:eastAsia="et-EE"/>
              </w:rPr>
            </w:pPr>
            <w:r w:rsidRPr="00764231">
              <w:rPr>
                <w:rFonts w:ascii="Arial" w:hAnsi="Arial" w:cs="Arial"/>
                <w:sz w:val="16"/>
                <w:szCs w:val="16"/>
                <w:lang w:val="et-EE" w:eastAsia="et-EE"/>
              </w:rPr>
              <w:t xml:space="preserve">     Muud tegevustulud</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87 358</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75 300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80 000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80 000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80 000</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80 000</w:t>
            </w:r>
          </w:p>
        </w:tc>
        <w:tc>
          <w:tcPr>
            <w:tcW w:w="992" w:type="dxa"/>
            <w:tcBorders>
              <w:top w:val="nil"/>
              <w:left w:val="nil"/>
              <w:bottom w:val="single" w:sz="4" w:space="0" w:color="000000"/>
              <w:right w:val="single" w:sz="4" w:space="0" w:color="000000"/>
            </w:tcBorders>
            <w:shd w:val="clear" w:color="auto" w:fill="FFFFFF" w:themeFill="background1"/>
            <w:noWrap/>
            <w:vAlign w:val="bottom"/>
            <w:hideMark/>
          </w:tcPr>
          <w:p w:rsidR="00764231" w:rsidRPr="00341EE2" w:rsidRDefault="00764231" w:rsidP="00764231">
            <w:pPr>
              <w:jc w:val="right"/>
              <w:rPr>
                <w:rFonts w:ascii="Arial" w:hAnsi="Arial" w:cs="Arial"/>
                <w:sz w:val="16"/>
                <w:szCs w:val="16"/>
                <w:lang w:val="et-EE" w:eastAsia="et-EE"/>
              </w:rPr>
            </w:pPr>
            <w:r w:rsidRPr="00341EE2">
              <w:rPr>
                <w:rFonts w:ascii="Arial" w:hAnsi="Arial" w:cs="Arial"/>
                <w:sz w:val="16"/>
                <w:szCs w:val="16"/>
                <w:lang w:val="et-EE" w:eastAsia="et-EE"/>
              </w:rPr>
              <w:t>80 000</w:t>
            </w:r>
          </w:p>
        </w:tc>
      </w:tr>
    </w:tbl>
    <w:p w:rsidR="00764231" w:rsidRPr="00C102A5" w:rsidRDefault="00764231" w:rsidP="00924C20">
      <w:pPr>
        <w:jc w:val="both"/>
        <w:rPr>
          <w:sz w:val="20"/>
          <w:szCs w:val="20"/>
          <w:lang w:val="et-EE"/>
        </w:rPr>
      </w:pPr>
    </w:p>
    <w:p w:rsidR="004C6042" w:rsidRPr="00C102A5" w:rsidRDefault="004C6042" w:rsidP="004C6042">
      <w:pPr>
        <w:rPr>
          <w:b/>
          <w:sz w:val="20"/>
          <w:szCs w:val="20"/>
          <w:lang w:val="et-EE"/>
        </w:rPr>
      </w:pPr>
      <w:r w:rsidRPr="00C102A5">
        <w:rPr>
          <w:b/>
          <w:sz w:val="20"/>
          <w:szCs w:val="20"/>
          <w:lang w:val="et-EE"/>
        </w:rPr>
        <w:t>Tabel 3. Viru-Nigula valla põhitegevuse tulude prognoos.</w:t>
      </w:r>
    </w:p>
    <w:p w:rsidR="004C6042" w:rsidRDefault="004C6042" w:rsidP="00FA1A35">
      <w:pPr>
        <w:spacing w:line="276" w:lineRule="auto"/>
        <w:jc w:val="both"/>
        <w:rPr>
          <w:lang w:val="et-EE"/>
        </w:rPr>
      </w:pPr>
    </w:p>
    <w:p w:rsidR="00924C20" w:rsidRPr="007F1C06" w:rsidRDefault="00924C20" w:rsidP="007F1C06">
      <w:pPr>
        <w:spacing w:line="276" w:lineRule="auto"/>
        <w:jc w:val="both"/>
        <w:rPr>
          <w:lang w:val="et-EE"/>
        </w:rPr>
      </w:pPr>
      <w:r w:rsidRPr="00C102A5">
        <w:rPr>
          <w:lang w:val="et-EE"/>
        </w:rPr>
        <w:t>Põhitegevuse tulude muutus on eelarvestrateegia perioodil kavandatud konservatiivselt</w:t>
      </w:r>
      <w:r w:rsidR="00871989" w:rsidRPr="00C102A5">
        <w:rPr>
          <w:lang w:val="et-EE"/>
        </w:rPr>
        <w:t>, kuid kasvavana</w:t>
      </w:r>
      <w:r w:rsidR="00764231">
        <w:rPr>
          <w:lang w:val="et-EE"/>
        </w:rPr>
        <w:t xml:space="preserve">. Suurim tulu, </w:t>
      </w:r>
      <w:r w:rsidR="00871989" w:rsidRPr="00C102A5">
        <w:rPr>
          <w:lang w:val="et-EE"/>
        </w:rPr>
        <w:t xml:space="preserve">füüsilise </w:t>
      </w:r>
      <w:r w:rsidRPr="00C102A5">
        <w:rPr>
          <w:lang w:val="et-EE"/>
        </w:rPr>
        <w:t>isiku</w:t>
      </w:r>
      <w:r w:rsidR="00871989" w:rsidRPr="00C102A5">
        <w:rPr>
          <w:lang w:val="et-EE"/>
        </w:rPr>
        <w:t xml:space="preserve"> </w:t>
      </w:r>
      <w:r w:rsidRPr="00C102A5">
        <w:rPr>
          <w:lang w:val="et-EE"/>
        </w:rPr>
        <w:t>tulumaksu</w:t>
      </w:r>
      <w:r w:rsidR="00871989" w:rsidRPr="00C102A5">
        <w:rPr>
          <w:lang w:val="et-EE"/>
        </w:rPr>
        <w:t xml:space="preserve"> (FIT)</w:t>
      </w:r>
      <w:r w:rsidR="00764231">
        <w:rPr>
          <w:lang w:val="et-EE"/>
        </w:rPr>
        <w:t xml:space="preserve"> </w:t>
      </w:r>
      <w:r w:rsidRPr="00C102A5">
        <w:rPr>
          <w:lang w:val="et-EE"/>
        </w:rPr>
        <w:t xml:space="preserve">laekumise prognoos on </w:t>
      </w:r>
      <w:r w:rsidR="004F0C43" w:rsidRPr="00C102A5">
        <w:rPr>
          <w:lang w:val="et-EE"/>
        </w:rPr>
        <w:t>esitatud tabelis 4.</w:t>
      </w:r>
      <w:r w:rsidR="00871E55">
        <w:rPr>
          <w:lang w:val="et-EE"/>
        </w:rPr>
        <w:t xml:space="preserve"> </w:t>
      </w:r>
    </w:p>
    <w:p w:rsidR="00962C76" w:rsidRDefault="00962C76" w:rsidP="00924C20">
      <w:pPr>
        <w:rPr>
          <w:rFonts w:asciiTheme="minorHAnsi" w:hAnsiTheme="minorHAnsi" w:cstheme="minorHAnsi"/>
          <w:sz w:val="22"/>
          <w:szCs w:val="22"/>
          <w:lang w:val="et-EE"/>
        </w:rPr>
      </w:pPr>
    </w:p>
    <w:tbl>
      <w:tblPr>
        <w:tblW w:w="9204" w:type="dxa"/>
        <w:tblCellMar>
          <w:left w:w="70" w:type="dxa"/>
          <w:right w:w="70" w:type="dxa"/>
        </w:tblCellMar>
        <w:tblLook w:val="04A0" w:firstRow="1" w:lastRow="0" w:firstColumn="1" w:lastColumn="0" w:noHBand="0" w:noVBand="1"/>
      </w:tblPr>
      <w:tblGrid>
        <w:gridCol w:w="2117"/>
        <w:gridCol w:w="992"/>
        <w:gridCol w:w="992"/>
        <w:gridCol w:w="992"/>
        <w:gridCol w:w="993"/>
        <w:gridCol w:w="992"/>
        <w:gridCol w:w="992"/>
        <w:gridCol w:w="1134"/>
      </w:tblGrid>
      <w:tr w:rsidR="00912F22" w:rsidRPr="00912F22" w:rsidTr="00341EE2">
        <w:trPr>
          <w:trHeight w:val="315"/>
        </w:trPr>
        <w:tc>
          <w:tcPr>
            <w:tcW w:w="2117" w:type="dxa"/>
            <w:tcBorders>
              <w:top w:val="single" w:sz="8" w:space="0" w:color="auto"/>
              <w:left w:val="single" w:sz="8" w:space="0" w:color="auto"/>
              <w:bottom w:val="single" w:sz="8" w:space="0" w:color="auto"/>
              <w:right w:val="single" w:sz="4" w:space="0" w:color="000000"/>
            </w:tcBorders>
            <w:shd w:val="clear" w:color="auto" w:fill="D6E3BC" w:themeFill="accent3" w:themeFillTint="66"/>
            <w:noWrap/>
            <w:vAlign w:val="bottom"/>
            <w:hideMark/>
          </w:tcPr>
          <w:p w:rsidR="00912F22" w:rsidRPr="00912F22" w:rsidRDefault="00912F22" w:rsidP="00025237">
            <w:pPr>
              <w:jc w:val="center"/>
              <w:rPr>
                <w:b/>
                <w:bCs/>
                <w:sz w:val="20"/>
                <w:szCs w:val="20"/>
                <w:lang w:val="et-EE" w:eastAsia="et-EE"/>
              </w:rPr>
            </w:pPr>
            <w:r w:rsidRPr="00912F22">
              <w:rPr>
                <w:b/>
                <w:bCs/>
                <w:sz w:val="20"/>
                <w:szCs w:val="20"/>
                <w:lang w:val="et-EE" w:eastAsia="et-EE"/>
              </w:rPr>
              <w:t>Mõju element</w:t>
            </w:r>
          </w:p>
        </w:tc>
        <w:tc>
          <w:tcPr>
            <w:tcW w:w="992" w:type="dxa"/>
            <w:tcBorders>
              <w:top w:val="single" w:sz="8" w:space="0" w:color="auto"/>
              <w:left w:val="nil"/>
              <w:bottom w:val="single" w:sz="8" w:space="0" w:color="auto"/>
              <w:right w:val="single" w:sz="8" w:space="0" w:color="auto"/>
            </w:tcBorders>
            <w:shd w:val="clear" w:color="auto" w:fill="D6E3BC" w:themeFill="accent3" w:themeFillTint="66"/>
            <w:noWrap/>
            <w:vAlign w:val="bottom"/>
            <w:hideMark/>
          </w:tcPr>
          <w:p w:rsidR="00912F22" w:rsidRPr="00912F22" w:rsidRDefault="00912F22" w:rsidP="00025237">
            <w:pPr>
              <w:jc w:val="center"/>
              <w:rPr>
                <w:b/>
                <w:bCs/>
                <w:sz w:val="20"/>
                <w:szCs w:val="20"/>
                <w:lang w:val="et-EE" w:eastAsia="et-EE"/>
              </w:rPr>
            </w:pPr>
            <w:r w:rsidRPr="00912F22">
              <w:rPr>
                <w:b/>
                <w:bCs/>
                <w:sz w:val="20"/>
                <w:szCs w:val="20"/>
                <w:lang w:val="et-EE" w:eastAsia="et-EE"/>
              </w:rPr>
              <w:t>2017</w:t>
            </w:r>
          </w:p>
        </w:tc>
        <w:tc>
          <w:tcPr>
            <w:tcW w:w="992" w:type="dxa"/>
            <w:tcBorders>
              <w:top w:val="single" w:sz="8" w:space="0" w:color="auto"/>
              <w:left w:val="nil"/>
              <w:bottom w:val="single" w:sz="8" w:space="0" w:color="auto"/>
              <w:right w:val="single" w:sz="8" w:space="0" w:color="auto"/>
            </w:tcBorders>
            <w:shd w:val="clear" w:color="auto" w:fill="D6E3BC" w:themeFill="accent3" w:themeFillTint="66"/>
            <w:noWrap/>
            <w:vAlign w:val="bottom"/>
            <w:hideMark/>
          </w:tcPr>
          <w:p w:rsidR="00912F22" w:rsidRPr="00912F22" w:rsidRDefault="00912F22" w:rsidP="00025237">
            <w:pPr>
              <w:jc w:val="center"/>
              <w:rPr>
                <w:b/>
                <w:bCs/>
                <w:sz w:val="20"/>
                <w:szCs w:val="20"/>
                <w:lang w:val="et-EE" w:eastAsia="et-EE"/>
              </w:rPr>
            </w:pPr>
            <w:r w:rsidRPr="00912F22">
              <w:rPr>
                <w:b/>
                <w:bCs/>
                <w:sz w:val="20"/>
                <w:szCs w:val="20"/>
                <w:lang w:val="et-EE" w:eastAsia="et-EE"/>
              </w:rPr>
              <w:t>2018</w:t>
            </w:r>
          </w:p>
        </w:tc>
        <w:tc>
          <w:tcPr>
            <w:tcW w:w="992" w:type="dxa"/>
            <w:tcBorders>
              <w:top w:val="single" w:sz="8" w:space="0" w:color="auto"/>
              <w:left w:val="single" w:sz="4" w:space="0" w:color="auto"/>
              <w:bottom w:val="single" w:sz="8" w:space="0" w:color="auto"/>
              <w:right w:val="single" w:sz="8" w:space="0" w:color="auto"/>
            </w:tcBorders>
            <w:shd w:val="clear" w:color="auto" w:fill="D6E3BC" w:themeFill="accent3" w:themeFillTint="66"/>
            <w:noWrap/>
            <w:vAlign w:val="bottom"/>
            <w:hideMark/>
          </w:tcPr>
          <w:p w:rsidR="00912F22" w:rsidRPr="00912F22" w:rsidRDefault="00912F22" w:rsidP="00025237">
            <w:pPr>
              <w:jc w:val="center"/>
              <w:rPr>
                <w:b/>
                <w:bCs/>
                <w:sz w:val="20"/>
                <w:szCs w:val="20"/>
                <w:lang w:val="et-EE" w:eastAsia="et-EE"/>
              </w:rPr>
            </w:pPr>
            <w:r w:rsidRPr="00912F22">
              <w:rPr>
                <w:b/>
                <w:bCs/>
                <w:sz w:val="20"/>
                <w:szCs w:val="20"/>
                <w:lang w:val="et-EE" w:eastAsia="et-EE"/>
              </w:rPr>
              <w:t>2019</w:t>
            </w:r>
          </w:p>
        </w:tc>
        <w:tc>
          <w:tcPr>
            <w:tcW w:w="993" w:type="dxa"/>
            <w:tcBorders>
              <w:top w:val="single" w:sz="8" w:space="0" w:color="auto"/>
              <w:left w:val="nil"/>
              <w:bottom w:val="single" w:sz="8" w:space="0" w:color="auto"/>
              <w:right w:val="single" w:sz="8" w:space="0" w:color="auto"/>
            </w:tcBorders>
            <w:shd w:val="clear" w:color="auto" w:fill="D6E3BC" w:themeFill="accent3" w:themeFillTint="66"/>
            <w:noWrap/>
            <w:vAlign w:val="bottom"/>
            <w:hideMark/>
          </w:tcPr>
          <w:p w:rsidR="00912F22" w:rsidRPr="00912F22" w:rsidRDefault="00912F22" w:rsidP="00025237">
            <w:pPr>
              <w:jc w:val="center"/>
              <w:rPr>
                <w:b/>
                <w:bCs/>
                <w:sz w:val="20"/>
                <w:szCs w:val="20"/>
                <w:lang w:val="et-EE" w:eastAsia="et-EE"/>
              </w:rPr>
            </w:pPr>
            <w:r w:rsidRPr="00912F22">
              <w:rPr>
                <w:b/>
                <w:bCs/>
                <w:sz w:val="20"/>
                <w:szCs w:val="20"/>
                <w:lang w:val="et-EE" w:eastAsia="et-EE"/>
              </w:rPr>
              <w:t>2020</w:t>
            </w:r>
          </w:p>
        </w:tc>
        <w:tc>
          <w:tcPr>
            <w:tcW w:w="992" w:type="dxa"/>
            <w:tcBorders>
              <w:top w:val="single" w:sz="8" w:space="0" w:color="auto"/>
              <w:left w:val="single" w:sz="4" w:space="0" w:color="auto"/>
              <w:bottom w:val="single" w:sz="8" w:space="0" w:color="auto"/>
              <w:right w:val="single" w:sz="8" w:space="0" w:color="auto"/>
            </w:tcBorders>
            <w:shd w:val="clear" w:color="auto" w:fill="D6E3BC" w:themeFill="accent3" w:themeFillTint="66"/>
            <w:noWrap/>
            <w:vAlign w:val="bottom"/>
            <w:hideMark/>
          </w:tcPr>
          <w:p w:rsidR="00912F22" w:rsidRPr="00912F22" w:rsidRDefault="00912F22" w:rsidP="00025237">
            <w:pPr>
              <w:jc w:val="center"/>
              <w:rPr>
                <w:b/>
                <w:bCs/>
                <w:sz w:val="20"/>
                <w:szCs w:val="20"/>
                <w:lang w:val="et-EE" w:eastAsia="et-EE"/>
              </w:rPr>
            </w:pPr>
            <w:r w:rsidRPr="00912F22">
              <w:rPr>
                <w:b/>
                <w:bCs/>
                <w:sz w:val="20"/>
                <w:szCs w:val="20"/>
                <w:lang w:val="et-EE" w:eastAsia="et-EE"/>
              </w:rPr>
              <w:t>2021</w:t>
            </w:r>
          </w:p>
        </w:tc>
        <w:tc>
          <w:tcPr>
            <w:tcW w:w="992" w:type="dxa"/>
            <w:tcBorders>
              <w:top w:val="single" w:sz="8" w:space="0" w:color="auto"/>
              <w:left w:val="nil"/>
              <w:bottom w:val="single" w:sz="8" w:space="0" w:color="auto"/>
              <w:right w:val="single" w:sz="8" w:space="0" w:color="auto"/>
            </w:tcBorders>
            <w:shd w:val="clear" w:color="auto" w:fill="D6E3BC" w:themeFill="accent3" w:themeFillTint="66"/>
            <w:noWrap/>
            <w:vAlign w:val="bottom"/>
            <w:hideMark/>
          </w:tcPr>
          <w:p w:rsidR="00912F22" w:rsidRPr="00912F22" w:rsidRDefault="00912F22" w:rsidP="00025237">
            <w:pPr>
              <w:jc w:val="center"/>
              <w:rPr>
                <w:b/>
                <w:bCs/>
                <w:sz w:val="20"/>
                <w:szCs w:val="20"/>
                <w:lang w:val="et-EE" w:eastAsia="et-EE"/>
              </w:rPr>
            </w:pPr>
            <w:r w:rsidRPr="00912F22">
              <w:rPr>
                <w:b/>
                <w:bCs/>
                <w:sz w:val="20"/>
                <w:szCs w:val="20"/>
                <w:lang w:val="et-EE" w:eastAsia="et-EE"/>
              </w:rPr>
              <w:t>2022.</w:t>
            </w:r>
          </w:p>
        </w:tc>
        <w:tc>
          <w:tcPr>
            <w:tcW w:w="1134" w:type="dxa"/>
            <w:tcBorders>
              <w:top w:val="single" w:sz="8" w:space="0" w:color="auto"/>
              <w:left w:val="nil"/>
              <w:bottom w:val="single" w:sz="8" w:space="0" w:color="auto"/>
              <w:right w:val="single" w:sz="8" w:space="0" w:color="auto"/>
            </w:tcBorders>
            <w:shd w:val="clear" w:color="auto" w:fill="D6E3BC" w:themeFill="accent3" w:themeFillTint="66"/>
            <w:noWrap/>
            <w:vAlign w:val="bottom"/>
            <w:hideMark/>
          </w:tcPr>
          <w:p w:rsidR="00912F22" w:rsidRPr="00912F22" w:rsidRDefault="00912F22" w:rsidP="00025237">
            <w:pPr>
              <w:jc w:val="center"/>
              <w:rPr>
                <w:b/>
                <w:bCs/>
                <w:sz w:val="20"/>
                <w:szCs w:val="20"/>
                <w:lang w:val="et-EE" w:eastAsia="et-EE"/>
              </w:rPr>
            </w:pPr>
            <w:r w:rsidRPr="00912F22">
              <w:rPr>
                <w:b/>
                <w:bCs/>
                <w:sz w:val="20"/>
                <w:szCs w:val="20"/>
                <w:lang w:val="et-EE" w:eastAsia="et-EE"/>
              </w:rPr>
              <w:t>2023.</w:t>
            </w:r>
          </w:p>
        </w:tc>
      </w:tr>
      <w:tr w:rsidR="00912F22" w:rsidRPr="00912F22" w:rsidTr="009A7301">
        <w:trPr>
          <w:trHeight w:val="300"/>
        </w:trPr>
        <w:tc>
          <w:tcPr>
            <w:tcW w:w="2117" w:type="dxa"/>
            <w:tcBorders>
              <w:top w:val="nil"/>
              <w:left w:val="single" w:sz="8" w:space="0" w:color="auto"/>
              <w:bottom w:val="single" w:sz="4" w:space="0" w:color="000000"/>
              <w:right w:val="single" w:sz="4" w:space="0" w:color="000000"/>
            </w:tcBorders>
            <w:shd w:val="clear" w:color="auto" w:fill="auto"/>
            <w:noWrap/>
            <w:vAlign w:val="bottom"/>
            <w:hideMark/>
          </w:tcPr>
          <w:p w:rsidR="00912F22" w:rsidRPr="00912F22" w:rsidRDefault="00912F22" w:rsidP="00912F22">
            <w:pPr>
              <w:rPr>
                <w:sz w:val="20"/>
                <w:szCs w:val="20"/>
                <w:lang w:val="et-EE" w:eastAsia="et-EE"/>
              </w:rPr>
            </w:pPr>
            <w:r w:rsidRPr="00912F22">
              <w:rPr>
                <w:sz w:val="20"/>
                <w:szCs w:val="20"/>
                <w:lang w:val="et-EE" w:eastAsia="et-EE"/>
              </w:rPr>
              <w:t>Maksumaksjad</w:t>
            </w:r>
          </w:p>
        </w:tc>
        <w:tc>
          <w:tcPr>
            <w:tcW w:w="992" w:type="dxa"/>
            <w:tcBorders>
              <w:top w:val="nil"/>
              <w:left w:val="nil"/>
              <w:bottom w:val="single" w:sz="4" w:space="0" w:color="000000"/>
              <w:right w:val="single" w:sz="8" w:space="0" w:color="auto"/>
            </w:tcBorders>
            <w:shd w:val="clear" w:color="auto" w:fill="FFFFFF" w:themeFill="background1"/>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2 572</w:t>
            </w:r>
          </w:p>
        </w:tc>
        <w:tc>
          <w:tcPr>
            <w:tcW w:w="992" w:type="dxa"/>
            <w:tcBorders>
              <w:top w:val="nil"/>
              <w:left w:val="single" w:sz="4" w:space="0" w:color="auto"/>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2 580</w:t>
            </w:r>
          </w:p>
        </w:tc>
        <w:tc>
          <w:tcPr>
            <w:tcW w:w="992" w:type="dxa"/>
            <w:tcBorders>
              <w:top w:val="nil"/>
              <w:left w:val="single" w:sz="4" w:space="0" w:color="auto"/>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2 595</w:t>
            </w:r>
          </w:p>
        </w:tc>
        <w:tc>
          <w:tcPr>
            <w:tcW w:w="993" w:type="dxa"/>
            <w:tcBorders>
              <w:top w:val="nil"/>
              <w:left w:val="single" w:sz="4" w:space="0" w:color="auto"/>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2 605</w:t>
            </w:r>
          </w:p>
        </w:tc>
        <w:tc>
          <w:tcPr>
            <w:tcW w:w="992" w:type="dxa"/>
            <w:tcBorders>
              <w:top w:val="nil"/>
              <w:left w:val="single" w:sz="4" w:space="0" w:color="auto"/>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2 616</w:t>
            </w:r>
          </w:p>
        </w:tc>
        <w:tc>
          <w:tcPr>
            <w:tcW w:w="992" w:type="dxa"/>
            <w:tcBorders>
              <w:top w:val="nil"/>
              <w:left w:val="single" w:sz="4" w:space="0" w:color="auto"/>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2 629</w:t>
            </w:r>
          </w:p>
        </w:tc>
        <w:tc>
          <w:tcPr>
            <w:tcW w:w="1134" w:type="dxa"/>
            <w:tcBorders>
              <w:top w:val="nil"/>
              <w:left w:val="single" w:sz="4" w:space="0" w:color="auto"/>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2 645</w:t>
            </w:r>
          </w:p>
        </w:tc>
      </w:tr>
      <w:tr w:rsidR="00912F22" w:rsidRPr="00912F22" w:rsidTr="009A7301">
        <w:trPr>
          <w:trHeight w:val="300"/>
        </w:trPr>
        <w:tc>
          <w:tcPr>
            <w:tcW w:w="2117" w:type="dxa"/>
            <w:tcBorders>
              <w:top w:val="nil"/>
              <w:left w:val="single" w:sz="8" w:space="0" w:color="auto"/>
              <w:bottom w:val="single" w:sz="4" w:space="0" w:color="000000"/>
              <w:right w:val="single" w:sz="4" w:space="0" w:color="000000"/>
            </w:tcBorders>
            <w:shd w:val="clear" w:color="auto" w:fill="auto"/>
            <w:noWrap/>
            <w:vAlign w:val="bottom"/>
            <w:hideMark/>
          </w:tcPr>
          <w:p w:rsidR="00912F22" w:rsidRPr="00912F22" w:rsidRDefault="00912F22" w:rsidP="00912F22">
            <w:pPr>
              <w:rPr>
                <w:i/>
                <w:iCs/>
                <w:sz w:val="20"/>
                <w:szCs w:val="20"/>
                <w:lang w:val="et-EE" w:eastAsia="et-EE"/>
              </w:rPr>
            </w:pPr>
            <w:r w:rsidRPr="00912F22">
              <w:rPr>
                <w:i/>
                <w:iCs/>
                <w:sz w:val="20"/>
                <w:szCs w:val="20"/>
                <w:lang w:val="et-EE" w:eastAsia="et-EE"/>
              </w:rPr>
              <w:t xml:space="preserve">       muutus - koef.</w:t>
            </w:r>
          </w:p>
        </w:tc>
        <w:tc>
          <w:tcPr>
            <w:tcW w:w="992" w:type="dxa"/>
            <w:tcBorders>
              <w:top w:val="nil"/>
              <w:left w:val="nil"/>
              <w:bottom w:val="single" w:sz="4" w:space="0" w:color="000000"/>
              <w:right w:val="single" w:sz="8" w:space="0" w:color="auto"/>
            </w:tcBorders>
            <w:shd w:val="clear" w:color="auto" w:fill="FFFFFF" w:themeFill="background1"/>
            <w:noWrap/>
            <w:vAlign w:val="bottom"/>
            <w:hideMark/>
          </w:tcPr>
          <w:p w:rsidR="00912F22" w:rsidRPr="00912F22" w:rsidRDefault="00912F22" w:rsidP="00912F22">
            <w:pPr>
              <w:jc w:val="right"/>
              <w:rPr>
                <w:i/>
                <w:iCs/>
                <w:sz w:val="20"/>
                <w:szCs w:val="20"/>
                <w:lang w:val="et-EE" w:eastAsia="et-EE"/>
              </w:rPr>
            </w:pPr>
            <w:r w:rsidRPr="00912F22">
              <w:rPr>
                <w:i/>
                <w:iCs/>
                <w:sz w:val="20"/>
                <w:szCs w:val="20"/>
                <w:lang w:val="et-EE" w:eastAsia="et-EE"/>
              </w:rPr>
              <w:t>1,028</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i/>
                <w:iCs/>
                <w:sz w:val="20"/>
                <w:szCs w:val="20"/>
                <w:lang w:val="et-EE" w:eastAsia="et-EE"/>
              </w:rPr>
            </w:pPr>
            <w:r w:rsidRPr="00912F22">
              <w:rPr>
                <w:i/>
                <w:iCs/>
                <w:sz w:val="20"/>
                <w:szCs w:val="20"/>
                <w:lang w:val="et-EE" w:eastAsia="et-EE"/>
              </w:rPr>
              <w:t>1,003</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i/>
                <w:iCs/>
                <w:sz w:val="20"/>
                <w:szCs w:val="20"/>
                <w:lang w:val="et-EE" w:eastAsia="et-EE"/>
              </w:rPr>
            </w:pPr>
            <w:r w:rsidRPr="00912F22">
              <w:rPr>
                <w:i/>
                <w:iCs/>
                <w:sz w:val="20"/>
                <w:szCs w:val="20"/>
                <w:lang w:val="et-EE" w:eastAsia="et-EE"/>
              </w:rPr>
              <w:t>1,006</w:t>
            </w:r>
          </w:p>
        </w:tc>
        <w:tc>
          <w:tcPr>
            <w:tcW w:w="993"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i/>
                <w:iCs/>
                <w:sz w:val="20"/>
                <w:szCs w:val="20"/>
                <w:lang w:val="et-EE" w:eastAsia="et-EE"/>
              </w:rPr>
            </w:pPr>
            <w:r w:rsidRPr="00912F22">
              <w:rPr>
                <w:i/>
                <w:iCs/>
                <w:sz w:val="20"/>
                <w:szCs w:val="20"/>
                <w:lang w:val="et-EE" w:eastAsia="et-EE"/>
              </w:rPr>
              <w:t>1,004</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i/>
                <w:iCs/>
                <w:sz w:val="20"/>
                <w:szCs w:val="20"/>
                <w:lang w:val="et-EE" w:eastAsia="et-EE"/>
              </w:rPr>
            </w:pPr>
            <w:r w:rsidRPr="00912F22">
              <w:rPr>
                <w:i/>
                <w:iCs/>
                <w:sz w:val="20"/>
                <w:szCs w:val="20"/>
                <w:lang w:val="et-EE" w:eastAsia="et-EE"/>
              </w:rPr>
              <w:t>1,004</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i/>
                <w:iCs/>
                <w:sz w:val="20"/>
                <w:szCs w:val="20"/>
                <w:lang w:val="et-EE" w:eastAsia="et-EE"/>
              </w:rPr>
            </w:pPr>
            <w:r w:rsidRPr="00912F22">
              <w:rPr>
                <w:i/>
                <w:iCs/>
                <w:sz w:val="20"/>
                <w:szCs w:val="20"/>
                <w:lang w:val="et-EE" w:eastAsia="et-EE"/>
              </w:rPr>
              <w:t>1,005</w:t>
            </w:r>
          </w:p>
        </w:tc>
        <w:tc>
          <w:tcPr>
            <w:tcW w:w="1134"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i/>
                <w:iCs/>
                <w:sz w:val="20"/>
                <w:szCs w:val="20"/>
                <w:lang w:val="et-EE" w:eastAsia="et-EE"/>
              </w:rPr>
            </w:pPr>
            <w:r w:rsidRPr="00912F22">
              <w:rPr>
                <w:i/>
                <w:iCs/>
                <w:sz w:val="20"/>
                <w:szCs w:val="20"/>
                <w:lang w:val="et-EE" w:eastAsia="et-EE"/>
              </w:rPr>
              <w:t>1,006</w:t>
            </w:r>
          </w:p>
        </w:tc>
      </w:tr>
      <w:tr w:rsidR="00912F22" w:rsidRPr="00912F22" w:rsidTr="009A7301">
        <w:trPr>
          <w:trHeight w:val="300"/>
        </w:trPr>
        <w:tc>
          <w:tcPr>
            <w:tcW w:w="2117" w:type="dxa"/>
            <w:tcBorders>
              <w:top w:val="nil"/>
              <w:left w:val="single" w:sz="8" w:space="0" w:color="auto"/>
              <w:bottom w:val="single" w:sz="4" w:space="0" w:color="000000"/>
              <w:right w:val="single" w:sz="4" w:space="0" w:color="000000"/>
            </w:tcBorders>
            <w:shd w:val="clear" w:color="auto" w:fill="auto"/>
            <w:noWrap/>
            <w:vAlign w:val="bottom"/>
            <w:hideMark/>
          </w:tcPr>
          <w:p w:rsidR="00912F22" w:rsidRPr="00912F22" w:rsidRDefault="00912F22" w:rsidP="00912F22">
            <w:pPr>
              <w:rPr>
                <w:sz w:val="20"/>
                <w:szCs w:val="20"/>
                <w:lang w:val="et-EE" w:eastAsia="et-EE"/>
              </w:rPr>
            </w:pPr>
            <w:r w:rsidRPr="00912F22">
              <w:rPr>
                <w:sz w:val="20"/>
                <w:szCs w:val="20"/>
                <w:lang w:val="et-EE" w:eastAsia="et-EE"/>
              </w:rPr>
              <w:t>Brutosissetulek</w:t>
            </w:r>
          </w:p>
        </w:tc>
        <w:tc>
          <w:tcPr>
            <w:tcW w:w="992" w:type="dxa"/>
            <w:tcBorders>
              <w:top w:val="nil"/>
              <w:left w:val="nil"/>
              <w:bottom w:val="single" w:sz="4" w:space="0" w:color="000000"/>
              <w:right w:val="single" w:sz="8" w:space="0" w:color="auto"/>
            </w:tcBorders>
            <w:shd w:val="clear" w:color="auto" w:fill="FFFFFF" w:themeFill="background1"/>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1039</w:t>
            </w:r>
          </w:p>
        </w:tc>
        <w:tc>
          <w:tcPr>
            <w:tcW w:w="992" w:type="dxa"/>
            <w:tcBorders>
              <w:top w:val="nil"/>
              <w:left w:val="single" w:sz="4" w:space="0" w:color="auto"/>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1082</w:t>
            </w:r>
          </w:p>
        </w:tc>
        <w:tc>
          <w:tcPr>
            <w:tcW w:w="992" w:type="dxa"/>
            <w:tcBorders>
              <w:top w:val="nil"/>
              <w:left w:val="single" w:sz="4" w:space="0" w:color="auto"/>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1119</w:t>
            </w:r>
          </w:p>
        </w:tc>
        <w:tc>
          <w:tcPr>
            <w:tcW w:w="993" w:type="dxa"/>
            <w:tcBorders>
              <w:top w:val="nil"/>
              <w:left w:val="single" w:sz="4" w:space="0" w:color="auto"/>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1145</w:t>
            </w:r>
          </w:p>
        </w:tc>
        <w:tc>
          <w:tcPr>
            <w:tcW w:w="992" w:type="dxa"/>
            <w:tcBorders>
              <w:top w:val="nil"/>
              <w:left w:val="single" w:sz="4" w:space="0" w:color="auto"/>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1176</w:t>
            </w:r>
          </w:p>
        </w:tc>
        <w:tc>
          <w:tcPr>
            <w:tcW w:w="992" w:type="dxa"/>
            <w:tcBorders>
              <w:top w:val="nil"/>
              <w:left w:val="single" w:sz="4" w:space="0" w:color="auto"/>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1204</w:t>
            </w:r>
          </w:p>
        </w:tc>
        <w:tc>
          <w:tcPr>
            <w:tcW w:w="1134" w:type="dxa"/>
            <w:tcBorders>
              <w:top w:val="nil"/>
              <w:left w:val="single" w:sz="4" w:space="0" w:color="auto"/>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1232</w:t>
            </w:r>
          </w:p>
        </w:tc>
      </w:tr>
      <w:tr w:rsidR="00912F22" w:rsidRPr="00912F22" w:rsidTr="009A7301">
        <w:trPr>
          <w:trHeight w:val="300"/>
        </w:trPr>
        <w:tc>
          <w:tcPr>
            <w:tcW w:w="2117" w:type="dxa"/>
            <w:tcBorders>
              <w:top w:val="nil"/>
              <w:left w:val="single" w:sz="8" w:space="0" w:color="auto"/>
              <w:bottom w:val="single" w:sz="4" w:space="0" w:color="000000"/>
              <w:right w:val="single" w:sz="4" w:space="0" w:color="000000"/>
            </w:tcBorders>
            <w:shd w:val="clear" w:color="auto" w:fill="auto"/>
            <w:noWrap/>
            <w:vAlign w:val="bottom"/>
            <w:hideMark/>
          </w:tcPr>
          <w:p w:rsidR="00912F22" w:rsidRPr="00912F22" w:rsidRDefault="00912F22" w:rsidP="00912F22">
            <w:pPr>
              <w:rPr>
                <w:i/>
                <w:iCs/>
                <w:sz w:val="20"/>
                <w:szCs w:val="20"/>
                <w:lang w:val="et-EE" w:eastAsia="et-EE"/>
              </w:rPr>
            </w:pPr>
            <w:r w:rsidRPr="00912F22">
              <w:rPr>
                <w:i/>
                <w:iCs/>
                <w:sz w:val="20"/>
                <w:szCs w:val="20"/>
                <w:lang w:val="et-EE" w:eastAsia="et-EE"/>
              </w:rPr>
              <w:t xml:space="preserve">       muutus - koef.</w:t>
            </w:r>
          </w:p>
        </w:tc>
        <w:tc>
          <w:tcPr>
            <w:tcW w:w="992" w:type="dxa"/>
            <w:tcBorders>
              <w:top w:val="nil"/>
              <w:left w:val="nil"/>
              <w:bottom w:val="single" w:sz="4" w:space="0" w:color="000000"/>
              <w:right w:val="single" w:sz="8" w:space="0" w:color="auto"/>
            </w:tcBorders>
            <w:shd w:val="clear" w:color="auto" w:fill="FFFFFF" w:themeFill="background1"/>
            <w:noWrap/>
            <w:vAlign w:val="bottom"/>
            <w:hideMark/>
          </w:tcPr>
          <w:p w:rsidR="00912F22" w:rsidRPr="00912F22" w:rsidRDefault="00912F22" w:rsidP="00912F22">
            <w:pPr>
              <w:jc w:val="right"/>
              <w:rPr>
                <w:i/>
                <w:iCs/>
                <w:sz w:val="20"/>
                <w:szCs w:val="20"/>
                <w:lang w:val="et-EE" w:eastAsia="et-EE"/>
              </w:rPr>
            </w:pPr>
            <w:r w:rsidRPr="00912F22">
              <w:rPr>
                <w:i/>
                <w:iCs/>
                <w:sz w:val="20"/>
                <w:szCs w:val="20"/>
                <w:lang w:val="et-EE" w:eastAsia="et-EE"/>
              </w:rPr>
              <w:t>1,041</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i/>
                <w:iCs/>
                <w:sz w:val="20"/>
                <w:szCs w:val="20"/>
                <w:lang w:val="et-EE" w:eastAsia="et-EE"/>
              </w:rPr>
            </w:pPr>
            <w:r w:rsidRPr="00912F22">
              <w:rPr>
                <w:i/>
                <w:iCs/>
                <w:sz w:val="20"/>
                <w:szCs w:val="20"/>
                <w:lang w:val="et-EE" w:eastAsia="et-EE"/>
              </w:rPr>
              <w:t>1,042</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i/>
                <w:iCs/>
                <w:sz w:val="20"/>
                <w:szCs w:val="20"/>
                <w:lang w:val="et-EE" w:eastAsia="et-EE"/>
              </w:rPr>
            </w:pPr>
            <w:r w:rsidRPr="00912F22">
              <w:rPr>
                <w:i/>
                <w:iCs/>
                <w:sz w:val="20"/>
                <w:szCs w:val="20"/>
                <w:lang w:val="et-EE" w:eastAsia="et-EE"/>
              </w:rPr>
              <w:t>1,034</w:t>
            </w:r>
          </w:p>
        </w:tc>
        <w:tc>
          <w:tcPr>
            <w:tcW w:w="993"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i/>
                <w:iCs/>
                <w:sz w:val="20"/>
                <w:szCs w:val="20"/>
                <w:lang w:val="et-EE" w:eastAsia="et-EE"/>
              </w:rPr>
            </w:pPr>
            <w:r w:rsidRPr="00912F22">
              <w:rPr>
                <w:i/>
                <w:iCs/>
                <w:sz w:val="20"/>
                <w:szCs w:val="20"/>
                <w:lang w:val="et-EE" w:eastAsia="et-EE"/>
              </w:rPr>
              <w:t>1,023</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i/>
                <w:iCs/>
                <w:sz w:val="20"/>
                <w:szCs w:val="20"/>
                <w:lang w:val="et-EE" w:eastAsia="et-EE"/>
              </w:rPr>
            </w:pPr>
            <w:r w:rsidRPr="00912F22">
              <w:rPr>
                <w:i/>
                <w:iCs/>
                <w:sz w:val="20"/>
                <w:szCs w:val="20"/>
                <w:lang w:val="et-EE" w:eastAsia="et-EE"/>
              </w:rPr>
              <w:t>1,027</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i/>
                <w:iCs/>
                <w:sz w:val="20"/>
                <w:szCs w:val="20"/>
                <w:lang w:val="et-EE" w:eastAsia="et-EE"/>
              </w:rPr>
            </w:pPr>
            <w:r w:rsidRPr="00912F22">
              <w:rPr>
                <w:i/>
                <w:iCs/>
                <w:sz w:val="20"/>
                <w:szCs w:val="20"/>
                <w:lang w:val="et-EE" w:eastAsia="et-EE"/>
              </w:rPr>
              <w:t>1,024</w:t>
            </w:r>
          </w:p>
        </w:tc>
        <w:tc>
          <w:tcPr>
            <w:tcW w:w="1134"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i/>
                <w:iCs/>
                <w:sz w:val="20"/>
                <w:szCs w:val="20"/>
                <w:lang w:val="et-EE" w:eastAsia="et-EE"/>
              </w:rPr>
            </w:pPr>
            <w:r w:rsidRPr="00912F22">
              <w:rPr>
                <w:i/>
                <w:iCs/>
                <w:sz w:val="20"/>
                <w:szCs w:val="20"/>
                <w:lang w:val="et-EE" w:eastAsia="et-EE"/>
              </w:rPr>
              <w:t>1,023</w:t>
            </w:r>
          </w:p>
        </w:tc>
      </w:tr>
      <w:tr w:rsidR="00912F22" w:rsidRPr="00912F22" w:rsidTr="009A7301">
        <w:trPr>
          <w:trHeight w:val="300"/>
        </w:trPr>
        <w:tc>
          <w:tcPr>
            <w:tcW w:w="2117" w:type="dxa"/>
            <w:tcBorders>
              <w:top w:val="nil"/>
              <w:left w:val="single" w:sz="8" w:space="0" w:color="auto"/>
              <w:bottom w:val="single" w:sz="4" w:space="0" w:color="000000"/>
              <w:right w:val="single" w:sz="4" w:space="0" w:color="000000"/>
            </w:tcBorders>
            <w:shd w:val="clear" w:color="auto" w:fill="auto"/>
            <w:noWrap/>
            <w:vAlign w:val="bottom"/>
            <w:hideMark/>
          </w:tcPr>
          <w:p w:rsidR="00912F22" w:rsidRPr="00912F22" w:rsidRDefault="00912F22" w:rsidP="00912F22">
            <w:pPr>
              <w:rPr>
                <w:sz w:val="20"/>
                <w:szCs w:val="20"/>
                <w:lang w:val="et-EE" w:eastAsia="et-EE"/>
              </w:rPr>
            </w:pPr>
            <w:r w:rsidRPr="00912F22">
              <w:rPr>
                <w:sz w:val="20"/>
                <w:szCs w:val="20"/>
                <w:lang w:val="et-EE" w:eastAsia="et-EE"/>
              </w:rPr>
              <w:t>Tulumaksuseadus</w:t>
            </w:r>
          </w:p>
        </w:tc>
        <w:tc>
          <w:tcPr>
            <w:tcW w:w="992" w:type="dxa"/>
            <w:tcBorders>
              <w:top w:val="nil"/>
              <w:left w:val="nil"/>
              <w:bottom w:val="single" w:sz="4" w:space="0" w:color="000000"/>
              <w:right w:val="single" w:sz="8" w:space="0" w:color="auto"/>
            </w:tcBorders>
            <w:shd w:val="clear" w:color="auto" w:fill="FFFFFF" w:themeFill="background1"/>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11,6</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11,6</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11,9</w:t>
            </w:r>
          </w:p>
        </w:tc>
        <w:tc>
          <w:tcPr>
            <w:tcW w:w="993"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11,93</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11,93</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11,93</w:t>
            </w:r>
          </w:p>
        </w:tc>
        <w:tc>
          <w:tcPr>
            <w:tcW w:w="1134"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11,93</w:t>
            </w:r>
          </w:p>
        </w:tc>
      </w:tr>
      <w:tr w:rsidR="00912F22" w:rsidRPr="00912F22" w:rsidTr="009A7301">
        <w:trPr>
          <w:trHeight w:val="300"/>
        </w:trPr>
        <w:tc>
          <w:tcPr>
            <w:tcW w:w="2117" w:type="dxa"/>
            <w:tcBorders>
              <w:top w:val="nil"/>
              <w:left w:val="single" w:sz="8" w:space="0" w:color="auto"/>
              <w:bottom w:val="single" w:sz="4" w:space="0" w:color="000000"/>
              <w:right w:val="single" w:sz="4" w:space="0" w:color="000000"/>
            </w:tcBorders>
            <w:shd w:val="clear" w:color="auto" w:fill="auto"/>
            <w:noWrap/>
            <w:vAlign w:val="bottom"/>
            <w:hideMark/>
          </w:tcPr>
          <w:p w:rsidR="00912F22" w:rsidRPr="00912F22" w:rsidRDefault="00912F22" w:rsidP="00912F22">
            <w:pPr>
              <w:rPr>
                <w:i/>
                <w:iCs/>
                <w:sz w:val="20"/>
                <w:szCs w:val="20"/>
                <w:lang w:val="et-EE" w:eastAsia="et-EE"/>
              </w:rPr>
            </w:pPr>
            <w:r w:rsidRPr="00912F22">
              <w:rPr>
                <w:i/>
                <w:iCs/>
                <w:sz w:val="20"/>
                <w:szCs w:val="20"/>
                <w:lang w:val="et-EE" w:eastAsia="et-EE"/>
              </w:rPr>
              <w:t xml:space="preserve">       muutus - koef.</w:t>
            </w:r>
          </w:p>
        </w:tc>
        <w:tc>
          <w:tcPr>
            <w:tcW w:w="992" w:type="dxa"/>
            <w:tcBorders>
              <w:top w:val="nil"/>
              <w:left w:val="nil"/>
              <w:bottom w:val="single" w:sz="4" w:space="0" w:color="000000"/>
              <w:right w:val="single" w:sz="8" w:space="0" w:color="auto"/>
            </w:tcBorders>
            <w:shd w:val="clear" w:color="auto" w:fill="FFFFFF" w:themeFill="background1"/>
            <w:noWrap/>
            <w:vAlign w:val="bottom"/>
            <w:hideMark/>
          </w:tcPr>
          <w:p w:rsidR="00912F22" w:rsidRPr="00912F22" w:rsidRDefault="00912F22" w:rsidP="00912F22">
            <w:pPr>
              <w:jc w:val="right"/>
              <w:rPr>
                <w:i/>
                <w:iCs/>
                <w:sz w:val="20"/>
                <w:szCs w:val="20"/>
                <w:lang w:val="et-EE" w:eastAsia="et-EE"/>
              </w:rPr>
            </w:pPr>
            <w:r w:rsidRPr="00912F22">
              <w:rPr>
                <w:i/>
                <w:iCs/>
                <w:sz w:val="20"/>
                <w:szCs w:val="20"/>
                <w:lang w:val="et-EE" w:eastAsia="et-EE"/>
              </w:rPr>
              <w:t>1,000</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i/>
                <w:iCs/>
                <w:sz w:val="20"/>
                <w:szCs w:val="20"/>
                <w:lang w:val="et-EE" w:eastAsia="et-EE"/>
              </w:rPr>
            </w:pPr>
            <w:r w:rsidRPr="00912F22">
              <w:rPr>
                <w:i/>
                <w:iCs/>
                <w:sz w:val="20"/>
                <w:szCs w:val="20"/>
                <w:lang w:val="et-EE" w:eastAsia="et-EE"/>
              </w:rPr>
              <w:t>1,000</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i/>
                <w:iCs/>
                <w:sz w:val="20"/>
                <w:szCs w:val="20"/>
                <w:lang w:val="et-EE" w:eastAsia="et-EE"/>
              </w:rPr>
            </w:pPr>
            <w:r w:rsidRPr="00912F22">
              <w:rPr>
                <w:i/>
                <w:iCs/>
                <w:sz w:val="20"/>
                <w:szCs w:val="20"/>
                <w:lang w:val="et-EE" w:eastAsia="et-EE"/>
              </w:rPr>
              <w:t>1,026</w:t>
            </w:r>
          </w:p>
        </w:tc>
        <w:tc>
          <w:tcPr>
            <w:tcW w:w="993"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i/>
                <w:iCs/>
                <w:sz w:val="20"/>
                <w:szCs w:val="20"/>
                <w:lang w:val="et-EE" w:eastAsia="et-EE"/>
              </w:rPr>
            </w:pPr>
            <w:r w:rsidRPr="00912F22">
              <w:rPr>
                <w:i/>
                <w:iCs/>
                <w:sz w:val="20"/>
                <w:szCs w:val="20"/>
                <w:lang w:val="et-EE" w:eastAsia="et-EE"/>
              </w:rPr>
              <w:t>1,003</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i/>
                <w:iCs/>
                <w:sz w:val="20"/>
                <w:szCs w:val="20"/>
                <w:lang w:val="et-EE" w:eastAsia="et-EE"/>
              </w:rPr>
            </w:pPr>
            <w:r w:rsidRPr="00912F22">
              <w:rPr>
                <w:i/>
                <w:iCs/>
                <w:sz w:val="20"/>
                <w:szCs w:val="20"/>
                <w:lang w:val="et-EE" w:eastAsia="et-EE"/>
              </w:rPr>
              <w:t>1,000</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i/>
                <w:iCs/>
                <w:sz w:val="20"/>
                <w:szCs w:val="20"/>
                <w:lang w:val="et-EE" w:eastAsia="et-EE"/>
              </w:rPr>
            </w:pPr>
            <w:r w:rsidRPr="00912F22">
              <w:rPr>
                <w:i/>
                <w:iCs/>
                <w:sz w:val="20"/>
                <w:szCs w:val="20"/>
                <w:lang w:val="et-EE" w:eastAsia="et-EE"/>
              </w:rPr>
              <w:t>1,000</w:t>
            </w:r>
          </w:p>
        </w:tc>
        <w:tc>
          <w:tcPr>
            <w:tcW w:w="1134"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i/>
                <w:iCs/>
                <w:sz w:val="20"/>
                <w:szCs w:val="20"/>
                <w:lang w:val="et-EE" w:eastAsia="et-EE"/>
              </w:rPr>
            </w:pPr>
            <w:r w:rsidRPr="00912F22">
              <w:rPr>
                <w:i/>
                <w:iCs/>
                <w:sz w:val="20"/>
                <w:szCs w:val="20"/>
                <w:lang w:val="et-EE" w:eastAsia="et-EE"/>
              </w:rPr>
              <w:t>1,000</w:t>
            </w:r>
          </w:p>
        </w:tc>
      </w:tr>
      <w:tr w:rsidR="00912F22" w:rsidRPr="00912F22" w:rsidTr="009A7301">
        <w:trPr>
          <w:trHeight w:val="300"/>
        </w:trPr>
        <w:tc>
          <w:tcPr>
            <w:tcW w:w="2117" w:type="dxa"/>
            <w:tcBorders>
              <w:top w:val="nil"/>
              <w:left w:val="single" w:sz="8" w:space="0" w:color="auto"/>
              <w:bottom w:val="single" w:sz="4" w:space="0" w:color="000000"/>
              <w:right w:val="single" w:sz="4" w:space="0" w:color="000000"/>
            </w:tcBorders>
            <w:shd w:val="clear" w:color="auto" w:fill="auto"/>
            <w:noWrap/>
            <w:vAlign w:val="bottom"/>
            <w:hideMark/>
          </w:tcPr>
          <w:p w:rsidR="00912F22" w:rsidRPr="00912F22" w:rsidRDefault="00912F22" w:rsidP="00912F22">
            <w:pPr>
              <w:rPr>
                <w:sz w:val="20"/>
                <w:szCs w:val="20"/>
                <w:lang w:val="et-EE" w:eastAsia="et-EE"/>
              </w:rPr>
            </w:pPr>
            <w:r w:rsidRPr="00912F22">
              <w:rPr>
                <w:sz w:val="20"/>
                <w:szCs w:val="20"/>
                <w:lang w:val="et-EE" w:eastAsia="et-EE"/>
              </w:rPr>
              <w:t>Koefitsiendid kokku</w:t>
            </w:r>
          </w:p>
        </w:tc>
        <w:tc>
          <w:tcPr>
            <w:tcW w:w="992" w:type="dxa"/>
            <w:tcBorders>
              <w:top w:val="nil"/>
              <w:left w:val="nil"/>
              <w:bottom w:val="single" w:sz="4" w:space="0" w:color="000000"/>
              <w:right w:val="single" w:sz="8" w:space="0" w:color="auto"/>
            </w:tcBorders>
            <w:shd w:val="clear" w:color="auto" w:fill="FFFFFF" w:themeFill="background1"/>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1,069</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1,045</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1,066</w:t>
            </w:r>
          </w:p>
        </w:tc>
        <w:tc>
          <w:tcPr>
            <w:tcW w:w="993"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1,029</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1,031</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1,029</w:t>
            </w:r>
          </w:p>
        </w:tc>
        <w:tc>
          <w:tcPr>
            <w:tcW w:w="1134"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1,029</w:t>
            </w:r>
          </w:p>
        </w:tc>
      </w:tr>
      <w:tr w:rsidR="00912F22" w:rsidRPr="00912F22" w:rsidTr="009A7301">
        <w:trPr>
          <w:trHeight w:val="300"/>
        </w:trPr>
        <w:tc>
          <w:tcPr>
            <w:tcW w:w="2117" w:type="dxa"/>
            <w:tcBorders>
              <w:top w:val="nil"/>
              <w:left w:val="single" w:sz="8" w:space="0" w:color="auto"/>
              <w:bottom w:val="single" w:sz="4" w:space="0" w:color="000000"/>
              <w:right w:val="single" w:sz="4" w:space="0" w:color="000000"/>
            </w:tcBorders>
            <w:shd w:val="clear" w:color="auto" w:fill="auto"/>
            <w:noWrap/>
            <w:vAlign w:val="bottom"/>
            <w:hideMark/>
          </w:tcPr>
          <w:p w:rsidR="00912F22" w:rsidRPr="00912F22" w:rsidRDefault="00912F22" w:rsidP="00912F22">
            <w:pPr>
              <w:rPr>
                <w:b/>
                <w:bCs/>
                <w:sz w:val="20"/>
                <w:szCs w:val="20"/>
                <w:lang w:val="et-EE" w:eastAsia="et-EE"/>
              </w:rPr>
            </w:pPr>
            <w:r w:rsidRPr="00912F22">
              <w:rPr>
                <w:b/>
                <w:bCs/>
                <w:sz w:val="20"/>
                <w:szCs w:val="20"/>
                <w:lang w:val="et-EE" w:eastAsia="et-EE"/>
              </w:rPr>
              <w:t>FIT laekumine tuh.e.</w:t>
            </w:r>
          </w:p>
        </w:tc>
        <w:tc>
          <w:tcPr>
            <w:tcW w:w="992" w:type="dxa"/>
            <w:tcBorders>
              <w:top w:val="nil"/>
              <w:left w:val="nil"/>
              <w:bottom w:val="single" w:sz="4" w:space="0" w:color="000000"/>
              <w:right w:val="single" w:sz="8" w:space="0" w:color="auto"/>
            </w:tcBorders>
            <w:shd w:val="clear" w:color="auto" w:fill="FFFFFF" w:themeFill="background1"/>
            <w:noWrap/>
            <w:vAlign w:val="bottom"/>
            <w:hideMark/>
          </w:tcPr>
          <w:p w:rsidR="00912F22" w:rsidRPr="00912F22" w:rsidRDefault="00912F22" w:rsidP="00912F22">
            <w:pPr>
              <w:jc w:val="right"/>
              <w:rPr>
                <w:b/>
                <w:bCs/>
                <w:sz w:val="20"/>
                <w:szCs w:val="20"/>
                <w:lang w:val="et-EE" w:eastAsia="et-EE"/>
              </w:rPr>
            </w:pPr>
            <w:r w:rsidRPr="00912F22">
              <w:rPr>
                <w:b/>
                <w:bCs/>
                <w:sz w:val="20"/>
                <w:szCs w:val="20"/>
                <w:lang w:val="et-EE" w:eastAsia="et-EE"/>
              </w:rPr>
              <w:t>3 613 221</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b/>
                <w:bCs/>
                <w:sz w:val="20"/>
                <w:szCs w:val="20"/>
                <w:lang w:val="et-EE" w:eastAsia="et-EE"/>
              </w:rPr>
            </w:pPr>
            <w:r w:rsidRPr="00912F22">
              <w:rPr>
                <w:b/>
                <w:bCs/>
                <w:sz w:val="20"/>
                <w:szCs w:val="20"/>
                <w:lang w:val="et-EE" w:eastAsia="et-EE"/>
              </w:rPr>
              <w:t>3 775 000</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b/>
                <w:bCs/>
                <w:sz w:val="20"/>
                <w:szCs w:val="20"/>
                <w:lang w:val="et-EE" w:eastAsia="et-EE"/>
              </w:rPr>
            </w:pPr>
            <w:r w:rsidRPr="00912F22">
              <w:rPr>
                <w:b/>
                <w:bCs/>
                <w:sz w:val="20"/>
                <w:szCs w:val="20"/>
                <w:lang w:val="et-EE" w:eastAsia="et-EE"/>
              </w:rPr>
              <w:t>4 024 342</w:t>
            </w:r>
          </w:p>
        </w:tc>
        <w:tc>
          <w:tcPr>
            <w:tcW w:w="993"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b/>
                <w:bCs/>
                <w:sz w:val="20"/>
                <w:szCs w:val="20"/>
                <w:lang w:val="et-EE" w:eastAsia="et-EE"/>
              </w:rPr>
            </w:pPr>
            <w:r w:rsidRPr="00912F22">
              <w:rPr>
                <w:b/>
                <w:bCs/>
                <w:sz w:val="20"/>
                <w:szCs w:val="20"/>
                <w:lang w:val="et-EE" w:eastAsia="et-EE"/>
              </w:rPr>
              <w:t>4 142 170</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b/>
                <w:bCs/>
                <w:sz w:val="20"/>
                <w:szCs w:val="20"/>
                <w:lang w:val="et-EE" w:eastAsia="et-EE"/>
              </w:rPr>
            </w:pPr>
            <w:r w:rsidRPr="00912F22">
              <w:rPr>
                <w:b/>
                <w:bCs/>
                <w:sz w:val="20"/>
                <w:szCs w:val="20"/>
                <w:lang w:val="et-EE" w:eastAsia="et-EE"/>
              </w:rPr>
              <w:t>4 270 611</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b/>
                <w:bCs/>
                <w:sz w:val="20"/>
                <w:szCs w:val="20"/>
                <w:lang w:val="et-EE" w:eastAsia="et-EE"/>
              </w:rPr>
            </w:pPr>
            <w:r w:rsidRPr="00912F22">
              <w:rPr>
                <w:b/>
                <w:bCs/>
                <w:sz w:val="20"/>
                <w:szCs w:val="20"/>
                <w:lang w:val="et-EE" w:eastAsia="et-EE"/>
              </w:rPr>
              <w:t>4 392 962</w:t>
            </w:r>
          </w:p>
        </w:tc>
        <w:tc>
          <w:tcPr>
            <w:tcW w:w="1134"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b/>
                <w:bCs/>
                <w:sz w:val="20"/>
                <w:szCs w:val="20"/>
                <w:lang w:val="et-EE" w:eastAsia="et-EE"/>
              </w:rPr>
            </w:pPr>
            <w:r w:rsidRPr="00912F22">
              <w:rPr>
                <w:b/>
                <w:bCs/>
                <w:sz w:val="20"/>
                <w:szCs w:val="20"/>
                <w:lang w:val="et-EE" w:eastAsia="et-EE"/>
              </w:rPr>
              <w:t>4 521 355</w:t>
            </w:r>
          </w:p>
        </w:tc>
      </w:tr>
      <w:tr w:rsidR="00912F22" w:rsidRPr="00912F22" w:rsidTr="009A7301">
        <w:trPr>
          <w:trHeight w:val="300"/>
        </w:trPr>
        <w:tc>
          <w:tcPr>
            <w:tcW w:w="2117" w:type="dxa"/>
            <w:tcBorders>
              <w:top w:val="nil"/>
              <w:left w:val="single" w:sz="8" w:space="0" w:color="auto"/>
              <w:bottom w:val="nil"/>
              <w:right w:val="single" w:sz="4" w:space="0" w:color="000000"/>
            </w:tcBorders>
            <w:shd w:val="clear" w:color="CCCCFF" w:fill="BFBFBF"/>
            <w:noWrap/>
            <w:vAlign w:val="bottom"/>
            <w:hideMark/>
          </w:tcPr>
          <w:p w:rsidR="00912F22" w:rsidRPr="00912F22" w:rsidRDefault="00912F22" w:rsidP="00912F22">
            <w:pPr>
              <w:rPr>
                <w:sz w:val="20"/>
                <w:szCs w:val="20"/>
                <w:lang w:val="et-EE" w:eastAsia="et-EE"/>
              </w:rPr>
            </w:pPr>
            <w:r w:rsidRPr="00912F22">
              <w:rPr>
                <w:sz w:val="20"/>
                <w:szCs w:val="20"/>
                <w:lang w:val="et-EE" w:eastAsia="et-EE"/>
              </w:rPr>
              <w:t> </w:t>
            </w:r>
          </w:p>
        </w:tc>
        <w:tc>
          <w:tcPr>
            <w:tcW w:w="992" w:type="dxa"/>
            <w:tcBorders>
              <w:top w:val="nil"/>
              <w:left w:val="nil"/>
              <w:bottom w:val="nil"/>
              <w:right w:val="single" w:sz="8" w:space="0" w:color="auto"/>
            </w:tcBorders>
            <w:shd w:val="clear" w:color="auto" w:fill="BFBFBF" w:themeFill="background1" w:themeFillShade="BF"/>
            <w:noWrap/>
            <w:vAlign w:val="bottom"/>
            <w:hideMark/>
          </w:tcPr>
          <w:p w:rsidR="00912F22" w:rsidRPr="00912F22" w:rsidRDefault="00912F22" w:rsidP="00912F22">
            <w:pPr>
              <w:rPr>
                <w:sz w:val="20"/>
                <w:szCs w:val="20"/>
                <w:lang w:val="et-EE" w:eastAsia="et-EE"/>
              </w:rPr>
            </w:pPr>
            <w:r w:rsidRPr="00912F22">
              <w:rPr>
                <w:sz w:val="20"/>
                <w:szCs w:val="20"/>
                <w:lang w:val="et-EE" w:eastAsia="et-EE"/>
              </w:rPr>
              <w:t> </w:t>
            </w:r>
          </w:p>
        </w:tc>
        <w:tc>
          <w:tcPr>
            <w:tcW w:w="992" w:type="dxa"/>
            <w:tcBorders>
              <w:top w:val="nil"/>
              <w:left w:val="nil"/>
              <w:bottom w:val="single" w:sz="4" w:space="0" w:color="auto"/>
              <w:right w:val="single" w:sz="8" w:space="0" w:color="auto"/>
            </w:tcBorders>
            <w:shd w:val="clear" w:color="000000" w:fill="BFBFBF"/>
            <w:noWrap/>
            <w:vAlign w:val="bottom"/>
            <w:hideMark/>
          </w:tcPr>
          <w:p w:rsidR="00912F22" w:rsidRPr="00912F22" w:rsidRDefault="00912F22" w:rsidP="00912F22">
            <w:pPr>
              <w:rPr>
                <w:sz w:val="20"/>
                <w:szCs w:val="20"/>
                <w:lang w:val="et-EE" w:eastAsia="et-EE"/>
              </w:rPr>
            </w:pPr>
            <w:r w:rsidRPr="00912F22">
              <w:rPr>
                <w:sz w:val="20"/>
                <w:szCs w:val="20"/>
                <w:lang w:val="et-EE" w:eastAsia="et-EE"/>
              </w:rPr>
              <w:t> </w:t>
            </w:r>
          </w:p>
        </w:tc>
        <w:tc>
          <w:tcPr>
            <w:tcW w:w="992" w:type="dxa"/>
            <w:tcBorders>
              <w:top w:val="nil"/>
              <w:left w:val="nil"/>
              <w:bottom w:val="single" w:sz="4" w:space="0" w:color="auto"/>
              <w:right w:val="single" w:sz="8" w:space="0" w:color="auto"/>
            </w:tcBorders>
            <w:shd w:val="clear" w:color="000000" w:fill="BFBFBF"/>
            <w:noWrap/>
            <w:vAlign w:val="bottom"/>
            <w:hideMark/>
          </w:tcPr>
          <w:p w:rsidR="00912F22" w:rsidRPr="00912F22" w:rsidRDefault="00912F22" w:rsidP="00912F22">
            <w:pPr>
              <w:rPr>
                <w:sz w:val="20"/>
                <w:szCs w:val="20"/>
                <w:lang w:val="et-EE" w:eastAsia="et-EE"/>
              </w:rPr>
            </w:pPr>
            <w:r w:rsidRPr="00912F22">
              <w:rPr>
                <w:sz w:val="20"/>
                <w:szCs w:val="20"/>
                <w:lang w:val="et-EE" w:eastAsia="et-EE"/>
              </w:rPr>
              <w:t> </w:t>
            </w:r>
          </w:p>
        </w:tc>
        <w:tc>
          <w:tcPr>
            <w:tcW w:w="993" w:type="dxa"/>
            <w:tcBorders>
              <w:top w:val="nil"/>
              <w:left w:val="nil"/>
              <w:bottom w:val="single" w:sz="4" w:space="0" w:color="auto"/>
              <w:right w:val="single" w:sz="8" w:space="0" w:color="auto"/>
            </w:tcBorders>
            <w:shd w:val="clear" w:color="000000" w:fill="BFBFBF"/>
            <w:noWrap/>
            <w:vAlign w:val="bottom"/>
            <w:hideMark/>
          </w:tcPr>
          <w:p w:rsidR="00912F22" w:rsidRPr="00912F22" w:rsidRDefault="00912F22" w:rsidP="00912F22">
            <w:pPr>
              <w:rPr>
                <w:sz w:val="20"/>
                <w:szCs w:val="20"/>
                <w:lang w:val="et-EE" w:eastAsia="et-EE"/>
              </w:rPr>
            </w:pPr>
            <w:r w:rsidRPr="00912F22">
              <w:rPr>
                <w:sz w:val="20"/>
                <w:szCs w:val="20"/>
                <w:lang w:val="et-EE" w:eastAsia="et-EE"/>
              </w:rPr>
              <w:t> </w:t>
            </w:r>
          </w:p>
        </w:tc>
        <w:tc>
          <w:tcPr>
            <w:tcW w:w="992" w:type="dxa"/>
            <w:tcBorders>
              <w:top w:val="nil"/>
              <w:left w:val="nil"/>
              <w:bottom w:val="single" w:sz="4" w:space="0" w:color="auto"/>
              <w:right w:val="single" w:sz="8" w:space="0" w:color="auto"/>
            </w:tcBorders>
            <w:shd w:val="clear" w:color="000000" w:fill="BFBFBF"/>
            <w:noWrap/>
            <w:vAlign w:val="bottom"/>
            <w:hideMark/>
          </w:tcPr>
          <w:p w:rsidR="00912F22" w:rsidRPr="00912F22" w:rsidRDefault="00912F22" w:rsidP="00912F22">
            <w:pPr>
              <w:rPr>
                <w:sz w:val="20"/>
                <w:szCs w:val="20"/>
                <w:lang w:val="et-EE" w:eastAsia="et-EE"/>
              </w:rPr>
            </w:pPr>
            <w:r w:rsidRPr="00912F22">
              <w:rPr>
                <w:sz w:val="20"/>
                <w:szCs w:val="20"/>
                <w:lang w:val="et-EE" w:eastAsia="et-EE"/>
              </w:rPr>
              <w:t> </w:t>
            </w:r>
          </w:p>
        </w:tc>
        <w:tc>
          <w:tcPr>
            <w:tcW w:w="992" w:type="dxa"/>
            <w:tcBorders>
              <w:top w:val="nil"/>
              <w:left w:val="nil"/>
              <w:bottom w:val="single" w:sz="4" w:space="0" w:color="auto"/>
              <w:right w:val="single" w:sz="8" w:space="0" w:color="auto"/>
            </w:tcBorders>
            <w:shd w:val="clear" w:color="000000" w:fill="BFBFBF"/>
            <w:noWrap/>
            <w:vAlign w:val="bottom"/>
            <w:hideMark/>
          </w:tcPr>
          <w:p w:rsidR="00912F22" w:rsidRPr="00912F22" w:rsidRDefault="00912F22" w:rsidP="00912F22">
            <w:pPr>
              <w:rPr>
                <w:sz w:val="20"/>
                <w:szCs w:val="20"/>
                <w:lang w:val="et-EE" w:eastAsia="et-EE"/>
              </w:rPr>
            </w:pPr>
            <w:r w:rsidRPr="00912F22">
              <w:rPr>
                <w:sz w:val="20"/>
                <w:szCs w:val="20"/>
                <w:lang w:val="et-EE" w:eastAsia="et-EE"/>
              </w:rPr>
              <w:t> </w:t>
            </w:r>
          </w:p>
        </w:tc>
        <w:tc>
          <w:tcPr>
            <w:tcW w:w="1134" w:type="dxa"/>
            <w:tcBorders>
              <w:top w:val="nil"/>
              <w:left w:val="nil"/>
              <w:bottom w:val="single" w:sz="4" w:space="0" w:color="auto"/>
              <w:right w:val="single" w:sz="8" w:space="0" w:color="auto"/>
            </w:tcBorders>
            <w:shd w:val="clear" w:color="000000" w:fill="BFBFBF"/>
            <w:noWrap/>
            <w:vAlign w:val="bottom"/>
            <w:hideMark/>
          </w:tcPr>
          <w:p w:rsidR="00912F22" w:rsidRPr="00912F22" w:rsidRDefault="00912F22" w:rsidP="00912F22">
            <w:pPr>
              <w:rPr>
                <w:sz w:val="20"/>
                <w:szCs w:val="20"/>
                <w:lang w:val="et-EE" w:eastAsia="et-EE"/>
              </w:rPr>
            </w:pPr>
            <w:r w:rsidRPr="00912F22">
              <w:rPr>
                <w:sz w:val="20"/>
                <w:szCs w:val="20"/>
                <w:lang w:val="et-EE" w:eastAsia="et-EE"/>
              </w:rPr>
              <w:t> </w:t>
            </w:r>
          </w:p>
        </w:tc>
      </w:tr>
      <w:tr w:rsidR="00912F22" w:rsidRPr="00912F22" w:rsidTr="009A7301">
        <w:trPr>
          <w:trHeight w:val="525"/>
        </w:trPr>
        <w:tc>
          <w:tcPr>
            <w:tcW w:w="2117" w:type="dxa"/>
            <w:tcBorders>
              <w:top w:val="single" w:sz="4" w:space="0" w:color="000000"/>
              <w:left w:val="single" w:sz="8" w:space="0" w:color="auto"/>
              <w:bottom w:val="single" w:sz="4" w:space="0" w:color="000000"/>
              <w:right w:val="single" w:sz="4" w:space="0" w:color="000000"/>
            </w:tcBorders>
            <w:shd w:val="clear" w:color="auto" w:fill="auto"/>
            <w:vAlign w:val="bottom"/>
            <w:hideMark/>
          </w:tcPr>
          <w:p w:rsidR="00912F22" w:rsidRPr="00912F22" w:rsidRDefault="00912F22" w:rsidP="00912F22">
            <w:pPr>
              <w:rPr>
                <w:sz w:val="20"/>
                <w:szCs w:val="20"/>
                <w:lang w:val="et-EE" w:eastAsia="et-EE"/>
              </w:rPr>
            </w:pPr>
            <w:r w:rsidRPr="00912F22">
              <w:rPr>
                <w:sz w:val="20"/>
                <w:szCs w:val="20"/>
                <w:lang w:val="et-EE" w:eastAsia="et-EE"/>
              </w:rPr>
              <w:t>Maksumaksjate arvu kasvu</w:t>
            </w:r>
            <w:r w:rsidRPr="00912F22">
              <w:rPr>
                <w:sz w:val="20"/>
                <w:szCs w:val="20"/>
                <w:lang w:val="et-EE" w:eastAsia="et-EE"/>
              </w:rPr>
              <w:br/>
              <w:t>panus tuh.</w:t>
            </w:r>
            <w:r w:rsidR="00871E55">
              <w:rPr>
                <w:sz w:val="20"/>
                <w:szCs w:val="20"/>
                <w:lang w:val="et-EE" w:eastAsia="et-EE"/>
              </w:rPr>
              <w:t xml:space="preserve"> </w:t>
            </w:r>
            <w:r w:rsidRPr="00912F22">
              <w:rPr>
                <w:sz w:val="20"/>
                <w:szCs w:val="20"/>
                <w:lang w:val="et-EE" w:eastAsia="et-EE"/>
              </w:rPr>
              <w:t>eurot</w:t>
            </w:r>
          </w:p>
        </w:tc>
        <w:tc>
          <w:tcPr>
            <w:tcW w:w="992" w:type="dxa"/>
            <w:tcBorders>
              <w:top w:val="single" w:sz="4" w:space="0" w:color="000000"/>
              <w:left w:val="nil"/>
              <w:bottom w:val="single" w:sz="4" w:space="0" w:color="000000"/>
              <w:right w:val="single" w:sz="8" w:space="0" w:color="auto"/>
            </w:tcBorders>
            <w:shd w:val="clear" w:color="auto" w:fill="FFFFFF" w:themeFill="background1"/>
            <w:noWrap/>
            <w:vAlign w:val="bottom"/>
            <w:hideMark/>
          </w:tcPr>
          <w:p w:rsidR="00912F22" w:rsidRPr="00912F22" w:rsidRDefault="00912F22" w:rsidP="00912F22">
            <w:pPr>
              <w:rPr>
                <w:sz w:val="20"/>
                <w:szCs w:val="20"/>
                <w:lang w:val="et-EE" w:eastAsia="et-EE"/>
              </w:rPr>
            </w:pPr>
            <w:r w:rsidRPr="00912F22">
              <w:rPr>
                <w:sz w:val="20"/>
                <w:szCs w:val="20"/>
                <w:lang w:val="et-EE" w:eastAsia="et-EE"/>
              </w:rPr>
              <w:t> </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11 239</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21 948</w:t>
            </w:r>
          </w:p>
        </w:tc>
        <w:tc>
          <w:tcPr>
            <w:tcW w:w="993"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15 508</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17 491</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21 222</w:t>
            </w:r>
          </w:p>
        </w:tc>
        <w:tc>
          <w:tcPr>
            <w:tcW w:w="1134"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26 735</w:t>
            </w:r>
          </w:p>
        </w:tc>
      </w:tr>
      <w:tr w:rsidR="00912F22" w:rsidRPr="00912F22" w:rsidTr="009A7301">
        <w:trPr>
          <w:trHeight w:val="525"/>
        </w:trPr>
        <w:tc>
          <w:tcPr>
            <w:tcW w:w="2117" w:type="dxa"/>
            <w:tcBorders>
              <w:top w:val="nil"/>
              <w:left w:val="single" w:sz="8" w:space="0" w:color="auto"/>
              <w:bottom w:val="single" w:sz="4" w:space="0" w:color="000000"/>
              <w:right w:val="single" w:sz="4" w:space="0" w:color="000000"/>
            </w:tcBorders>
            <w:shd w:val="clear" w:color="auto" w:fill="auto"/>
            <w:vAlign w:val="bottom"/>
            <w:hideMark/>
          </w:tcPr>
          <w:p w:rsidR="00912F22" w:rsidRPr="00912F22" w:rsidRDefault="00912F22" w:rsidP="00912F22">
            <w:pPr>
              <w:rPr>
                <w:sz w:val="20"/>
                <w:szCs w:val="20"/>
                <w:lang w:val="et-EE" w:eastAsia="et-EE"/>
              </w:rPr>
            </w:pPr>
            <w:r w:rsidRPr="00912F22">
              <w:rPr>
                <w:sz w:val="20"/>
                <w:szCs w:val="20"/>
                <w:lang w:val="et-EE" w:eastAsia="et-EE"/>
              </w:rPr>
              <w:t>Brutosissetuleku kasvu</w:t>
            </w:r>
            <w:r w:rsidRPr="00912F22">
              <w:rPr>
                <w:sz w:val="20"/>
                <w:szCs w:val="20"/>
                <w:lang w:val="et-EE" w:eastAsia="et-EE"/>
              </w:rPr>
              <w:br/>
              <w:t>panus tuh.</w:t>
            </w:r>
            <w:r w:rsidR="00871E55">
              <w:rPr>
                <w:sz w:val="20"/>
                <w:szCs w:val="20"/>
                <w:lang w:val="et-EE" w:eastAsia="et-EE"/>
              </w:rPr>
              <w:t xml:space="preserve"> </w:t>
            </w:r>
            <w:r w:rsidRPr="00912F22">
              <w:rPr>
                <w:sz w:val="20"/>
                <w:szCs w:val="20"/>
                <w:lang w:val="et-EE" w:eastAsia="et-EE"/>
              </w:rPr>
              <w:t>eurot</w:t>
            </w:r>
          </w:p>
        </w:tc>
        <w:tc>
          <w:tcPr>
            <w:tcW w:w="992" w:type="dxa"/>
            <w:tcBorders>
              <w:top w:val="nil"/>
              <w:left w:val="nil"/>
              <w:bottom w:val="single" w:sz="4" w:space="0" w:color="000000"/>
              <w:right w:val="single" w:sz="8" w:space="0" w:color="auto"/>
            </w:tcBorders>
            <w:shd w:val="clear" w:color="auto" w:fill="FFFFFF" w:themeFill="background1"/>
            <w:noWrap/>
            <w:vAlign w:val="bottom"/>
            <w:hideMark/>
          </w:tcPr>
          <w:p w:rsidR="00912F22" w:rsidRPr="00912F22" w:rsidRDefault="00912F22" w:rsidP="00912F22">
            <w:pPr>
              <w:rPr>
                <w:sz w:val="20"/>
                <w:szCs w:val="20"/>
                <w:lang w:val="et-EE" w:eastAsia="et-EE"/>
              </w:rPr>
            </w:pPr>
            <w:r w:rsidRPr="00912F22">
              <w:rPr>
                <w:sz w:val="20"/>
                <w:szCs w:val="20"/>
                <w:lang w:val="et-EE" w:eastAsia="et-EE"/>
              </w:rPr>
              <w:t> </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150 540</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129 764</w:t>
            </w:r>
          </w:p>
        </w:tc>
        <w:tc>
          <w:tcPr>
            <w:tcW w:w="993"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92 175</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110 950</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101 128</w:t>
            </w:r>
          </w:p>
        </w:tc>
        <w:tc>
          <w:tcPr>
            <w:tcW w:w="1134"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101 658</w:t>
            </w:r>
          </w:p>
        </w:tc>
      </w:tr>
      <w:tr w:rsidR="00912F22" w:rsidRPr="00912F22" w:rsidTr="009A7301">
        <w:trPr>
          <w:trHeight w:val="525"/>
        </w:trPr>
        <w:tc>
          <w:tcPr>
            <w:tcW w:w="2117" w:type="dxa"/>
            <w:tcBorders>
              <w:top w:val="nil"/>
              <w:left w:val="single" w:sz="8" w:space="0" w:color="auto"/>
              <w:bottom w:val="single" w:sz="4" w:space="0" w:color="000000"/>
              <w:right w:val="single" w:sz="4" w:space="0" w:color="000000"/>
            </w:tcBorders>
            <w:shd w:val="clear" w:color="auto" w:fill="auto"/>
            <w:vAlign w:val="bottom"/>
            <w:hideMark/>
          </w:tcPr>
          <w:p w:rsidR="00912F22" w:rsidRPr="00912F22" w:rsidRDefault="00912F22" w:rsidP="00912F22">
            <w:pPr>
              <w:rPr>
                <w:sz w:val="20"/>
                <w:szCs w:val="20"/>
                <w:lang w:val="et-EE" w:eastAsia="et-EE"/>
              </w:rPr>
            </w:pPr>
            <w:r w:rsidRPr="00912F22">
              <w:rPr>
                <w:sz w:val="20"/>
                <w:szCs w:val="20"/>
                <w:lang w:val="et-EE" w:eastAsia="et-EE"/>
              </w:rPr>
              <w:t xml:space="preserve">Tulumaksuseaduse </w:t>
            </w:r>
            <w:r w:rsidRPr="00912F22">
              <w:rPr>
                <w:sz w:val="20"/>
                <w:szCs w:val="20"/>
                <w:lang w:val="et-EE" w:eastAsia="et-EE"/>
              </w:rPr>
              <w:br/>
              <w:t>panus tuh.</w:t>
            </w:r>
            <w:r w:rsidR="00871E55">
              <w:rPr>
                <w:sz w:val="20"/>
                <w:szCs w:val="20"/>
                <w:lang w:val="et-EE" w:eastAsia="et-EE"/>
              </w:rPr>
              <w:t xml:space="preserve"> </w:t>
            </w:r>
            <w:r w:rsidRPr="00912F22">
              <w:rPr>
                <w:sz w:val="20"/>
                <w:szCs w:val="20"/>
                <w:lang w:val="et-EE" w:eastAsia="et-EE"/>
              </w:rPr>
              <w:t>eurot</w:t>
            </w:r>
          </w:p>
        </w:tc>
        <w:tc>
          <w:tcPr>
            <w:tcW w:w="992" w:type="dxa"/>
            <w:tcBorders>
              <w:top w:val="nil"/>
              <w:left w:val="nil"/>
              <w:bottom w:val="single" w:sz="4" w:space="0" w:color="000000"/>
              <w:right w:val="single" w:sz="8" w:space="0" w:color="auto"/>
            </w:tcBorders>
            <w:shd w:val="clear" w:color="auto" w:fill="FFFFFF" w:themeFill="background1"/>
            <w:noWrap/>
            <w:vAlign w:val="bottom"/>
            <w:hideMark/>
          </w:tcPr>
          <w:p w:rsidR="00912F22" w:rsidRPr="00912F22" w:rsidRDefault="00912F22" w:rsidP="00912F22">
            <w:pPr>
              <w:rPr>
                <w:sz w:val="20"/>
                <w:szCs w:val="20"/>
                <w:lang w:val="et-EE" w:eastAsia="et-EE"/>
              </w:rPr>
            </w:pPr>
            <w:r w:rsidRPr="00912F22">
              <w:rPr>
                <w:sz w:val="20"/>
                <w:szCs w:val="20"/>
                <w:lang w:val="et-EE" w:eastAsia="et-EE"/>
              </w:rPr>
              <w:t> </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0</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97 629</w:t>
            </w:r>
          </w:p>
        </w:tc>
        <w:tc>
          <w:tcPr>
            <w:tcW w:w="993"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10 145</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0</w:t>
            </w:r>
          </w:p>
        </w:tc>
        <w:tc>
          <w:tcPr>
            <w:tcW w:w="992"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0</w:t>
            </w:r>
          </w:p>
        </w:tc>
        <w:tc>
          <w:tcPr>
            <w:tcW w:w="1134" w:type="dxa"/>
            <w:tcBorders>
              <w:top w:val="nil"/>
              <w:left w:val="nil"/>
              <w:bottom w:val="single" w:sz="4" w:space="0" w:color="000000"/>
              <w:right w:val="single" w:sz="8" w:space="0" w:color="auto"/>
            </w:tcBorders>
            <w:shd w:val="clear" w:color="auto" w:fill="auto"/>
            <w:noWrap/>
            <w:vAlign w:val="bottom"/>
            <w:hideMark/>
          </w:tcPr>
          <w:p w:rsidR="00912F22" w:rsidRPr="00912F22" w:rsidRDefault="00912F22" w:rsidP="00912F22">
            <w:pPr>
              <w:jc w:val="right"/>
              <w:rPr>
                <w:sz w:val="20"/>
                <w:szCs w:val="20"/>
                <w:lang w:val="et-EE" w:eastAsia="et-EE"/>
              </w:rPr>
            </w:pPr>
            <w:r w:rsidRPr="00912F22">
              <w:rPr>
                <w:sz w:val="20"/>
                <w:szCs w:val="20"/>
                <w:lang w:val="et-EE" w:eastAsia="et-EE"/>
              </w:rPr>
              <w:t>0</w:t>
            </w:r>
          </w:p>
        </w:tc>
      </w:tr>
      <w:tr w:rsidR="00912F22" w:rsidRPr="00912F22" w:rsidTr="009A7301">
        <w:trPr>
          <w:trHeight w:val="315"/>
        </w:trPr>
        <w:tc>
          <w:tcPr>
            <w:tcW w:w="2117" w:type="dxa"/>
            <w:tcBorders>
              <w:top w:val="nil"/>
              <w:left w:val="single" w:sz="8" w:space="0" w:color="auto"/>
              <w:bottom w:val="single" w:sz="8" w:space="0" w:color="auto"/>
              <w:right w:val="single" w:sz="4" w:space="0" w:color="000000"/>
            </w:tcBorders>
            <w:shd w:val="clear" w:color="auto" w:fill="auto"/>
            <w:noWrap/>
            <w:vAlign w:val="bottom"/>
            <w:hideMark/>
          </w:tcPr>
          <w:p w:rsidR="00912F22" w:rsidRPr="00912F22" w:rsidRDefault="00912F22" w:rsidP="00912F22">
            <w:pPr>
              <w:rPr>
                <w:b/>
                <w:bCs/>
                <w:sz w:val="20"/>
                <w:szCs w:val="20"/>
                <w:lang w:val="et-EE" w:eastAsia="et-EE"/>
              </w:rPr>
            </w:pPr>
            <w:r w:rsidRPr="00912F22">
              <w:rPr>
                <w:b/>
                <w:bCs/>
                <w:sz w:val="20"/>
                <w:szCs w:val="20"/>
                <w:lang w:val="et-EE" w:eastAsia="et-EE"/>
              </w:rPr>
              <w:t>Kogu panus tuh.</w:t>
            </w:r>
            <w:r w:rsidR="00871E55">
              <w:rPr>
                <w:b/>
                <w:bCs/>
                <w:sz w:val="20"/>
                <w:szCs w:val="20"/>
                <w:lang w:val="et-EE" w:eastAsia="et-EE"/>
              </w:rPr>
              <w:t xml:space="preserve"> eurot</w:t>
            </w:r>
          </w:p>
        </w:tc>
        <w:tc>
          <w:tcPr>
            <w:tcW w:w="992" w:type="dxa"/>
            <w:tcBorders>
              <w:top w:val="nil"/>
              <w:left w:val="nil"/>
              <w:bottom w:val="single" w:sz="8" w:space="0" w:color="auto"/>
              <w:right w:val="single" w:sz="8" w:space="0" w:color="auto"/>
            </w:tcBorders>
            <w:shd w:val="clear" w:color="auto" w:fill="FFFFFF" w:themeFill="background1"/>
            <w:noWrap/>
            <w:vAlign w:val="bottom"/>
            <w:hideMark/>
          </w:tcPr>
          <w:p w:rsidR="00912F22" w:rsidRPr="00912F22" w:rsidRDefault="00912F22" w:rsidP="00912F22">
            <w:pPr>
              <w:jc w:val="right"/>
              <w:rPr>
                <w:b/>
                <w:bCs/>
                <w:sz w:val="20"/>
                <w:szCs w:val="20"/>
                <w:lang w:val="et-EE" w:eastAsia="et-EE"/>
              </w:rPr>
            </w:pPr>
            <w:r w:rsidRPr="00912F22">
              <w:rPr>
                <w:b/>
                <w:bCs/>
                <w:sz w:val="20"/>
                <w:szCs w:val="20"/>
                <w:lang w:val="et-EE" w:eastAsia="et-EE"/>
              </w:rPr>
              <w:t>0</w:t>
            </w:r>
          </w:p>
        </w:tc>
        <w:tc>
          <w:tcPr>
            <w:tcW w:w="992" w:type="dxa"/>
            <w:tcBorders>
              <w:top w:val="nil"/>
              <w:left w:val="nil"/>
              <w:bottom w:val="single" w:sz="8" w:space="0" w:color="auto"/>
              <w:right w:val="single" w:sz="8" w:space="0" w:color="auto"/>
            </w:tcBorders>
            <w:shd w:val="clear" w:color="auto" w:fill="auto"/>
            <w:noWrap/>
            <w:vAlign w:val="bottom"/>
            <w:hideMark/>
          </w:tcPr>
          <w:p w:rsidR="00912F22" w:rsidRPr="00912F22" w:rsidRDefault="00912F22" w:rsidP="00912F22">
            <w:pPr>
              <w:jc w:val="right"/>
              <w:rPr>
                <w:b/>
                <w:bCs/>
                <w:sz w:val="20"/>
                <w:szCs w:val="20"/>
                <w:lang w:val="et-EE" w:eastAsia="et-EE"/>
              </w:rPr>
            </w:pPr>
            <w:r w:rsidRPr="00912F22">
              <w:rPr>
                <w:b/>
                <w:bCs/>
                <w:sz w:val="20"/>
                <w:szCs w:val="20"/>
                <w:lang w:val="et-EE" w:eastAsia="et-EE"/>
              </w:rPr>
              <w:t>161 779</w:t>
            </w:r>
          </w:p>
        </w:tc>
        <w:tc>
          <w:tcPr>
            <w:tcW w:w="992" w:type="dxa"/>
            <w:tcBorders>
              <w:top w:val="nil"/>
              <w:left w:val="nil"/>
              <w:bottom w:val="single" w:sz="8" w:space="0" w:color="auto"/>
              <w:right w:val="single" w:sz="8" w:space="0" w:color="auto"/>
            </w:tcBorders>
            <w:shd w:val="clear" w:color="auto" w:fill="auto"/>
            <w:noWrap/>
            <w:vAlign w:val="bottom"/>
            <w:hideMark/>
          </w:tcPr>
          <w:p w:rsidR="00912F22" w:rsidRPr="00912F22" w:rsidRDefault="00912F22" w:rsidP="00912F22">
            <w:pPr>
              <w:jc w:val="right"/>
              <w:rPr>
                <w:b/>
                <w:bCs/>
                <w:sz w:val="20"/>
                <w:szCs w:val="20"/>
                <w:lang w:val="et-EE" w:eastAsia="et-EE"/>
              </w:rPr>
            </w:pPr>
            <w:r w:rsidRPr="00912F22">
              <w:rPr>
                <w:b/>
                <w:bCs/>
                <w:sz w:val="20"/>
                <w:szCs w:val="20"/>
                <w:lang w:val="et-EE" w:eastAsia="et-EE"/>
              </w:rPr>
              <w:t>249 341</w:t>
            </w:r>
          </w:p>
        </w:tc>
        <w:tc>
          <w:tcPr>
            <w:tcW w:w="993" w:type="dxa"/>
            <w:tcBorders>
              <w:top w:val="nil"/>
              <w:left w:val="nil"/>
              <w:bottom w:val="single" w:sz="8" w:space="0" w:color="auto"/>
              <w:right w:val="single" w:sz="8" w:space="0" w:color="auto"/>
            </w:tcBorders>
            <w:shd w:val="clear" w:color="auto" w:fill="auto"/>
            <w:noWrap/>
            <w:vAlign w:val="bottom"/>
            <w:hideMark/>
          </w:tcPr>
          <w:p w:rsidR="00912F22" w:rsidRPr="00912F22" w:rsidRDefault="00912F22" w:rsidP="00912F22">
            <w:pPr>
              <w:jc w:val="right"/>
              <w:rPr>
                <w:b/>
                <w:bCs/>
                <w:sz w:val="20"/>
                <w:szCs w:val="20"/>
                <w:lang w:val="et-EE" w:eastAsia="et-EE"/>
              </w:rPr>
            </w:pPr>
            <w:r w:rsidRPr="00912F22">
              <w:rPr>
                <w:b/>
                <w:bCs/>
                <w:sz w:val="20"/>
                <w:szCs w:val="20"/>
                <w:lang w:val="et-EE" w:eastAsia="et-EE"/>
              </w:rPr>
              <w:t>117 829</w:t>
            </w:r>
          </w:p>
        </w:tc>
        <w:tc>
          <w:tcPr>
            <w:tcW w:w="992" w:type="dxa"/>
            <w:tcBorders>
              <w:top w:val="nil"/>
              <w:left w:val="nil"/>
              <w:bottom w:val="single" w:sz="8" w:space="0" w:color="auto"/>
              <w:right w:val="single" w:sz="8" w:space="0" w:color="auto"/>
            </w:tcBorders>
            <w:shd w:val="clear" w:color="auto" w:fill="auto"/>
            <w:noWrap/>
            <w:vAlign w:val="bottom"/>
            <w:hideMark/>
          </w:tcPr>
          <w:p w:rsidR="00912F22" w:rsidRPr="00912F22" w:rsidRDefault="00912F22" w:rsidP="00912F22">
            <w:pPr>
              <w:jc w:val="right"/>
              <w:rPr>
                <w:b/>
                <w:bCs/>
                <w:sz w:val="20"/>
                <w:szCs w:val="20"/>
                <w:lang w:val="et-EE" w:eastAsia="et-EE"/>
              </w:rPr>
            </w:pPr>
            <w:r w:rsidRPr="00912F22">
              <w:rPr>
                <w:b/>
                <w:bCs/>
                <w:sz w:val="20"/>
                <w:szCs w:val="20"/>
                <w:lang w:val="et-EE" w:eastAsia="et-EE"/>
              </w:rPr>
              <w:t>128 441</w:t>
            </w:r>
          </w:p>
        </w:tc>
        <w:tc>
          <w:tcPr>
            <w:tcW w:w="992" w:type="dxa"/>
            <w:tcBorders>
              <w:top w:val="nil"/>
              <w:left w:val="nil"/>
              <w:bottom w:val="single" w:sz="8" w:space="0" w:color="auto"/>
              <w:right w:val="single" w:sz="8" w:space="0" w:color="auto"/>
            </w:tcBorders>
            <w:shd w:val="clear" w:color="auto" w:fill="auto"/>
            <w:noWrap/>
            <w:vAlign w:val="bottom"/>
            <w:hideMark/>
          </w:tcPr>
          <w:p w:rsidR="00912F22" w:rsidRPr="00912F22" w:rsidRDefault="00912F22" w:rsidP="00912F22">
            <w:pPr>
              <w:jc w:val="right"/>
              <w:rPr>
                <w:b/>
                <w:bCs/>
                <w:sz w:val="20"/>
                <w:szCs w:val="20"/>
                <w:lang w:val="et-EE" w:eastAsia="et-EE"/>
              </w:rPr>
            </w:pPr>
            <w:r w:rsidRPr="00912F22">
              <w:rPr>
                <w:b/>
                <w:bCs/>
                <w:sz w:val="20"/>
                <w:szCs w:val="20"/>
                <w:lang w:val="et-EE" w:eastAsia="et-EE"/>
              </w:rPr>
              <w:t>122 350</w:t>
            </w:r>
          </w:p>
        </w:tc>
        <w:tc>
          <w:tcPr>
            <w:tcW w:w="1134" w:type="dxa"/>
            <w:tcBorders>
              <w:top w:val="nil"/>
              <w:left w:val="nil"/>
              <w:bottom w:val="single" w:sz="8" w:space="0" w:color="auto"/>
              <w:right w:val="single" w:sz="8" w:space="0" w:color="auto"/>
            </w:tcBorders>
            <w:shd w:val="clear" w:color="auto" w:fill="auto"/>
            <w:noWrap/>
            <w:vAlign w:val="bottom"/>
            <w:hideMark/>
          </w:tcPr>
          <w:p w:rsidR="00912F22" w:rsidRPr="00912F22" w:rsidRDefault="00912F22" w:rsidP="00912F22">
            <w:pPr>
              <w:jc w:val="right"/>
              <w:rPr>
                <w:b/>
                <w:bCs/>
                <w:sz w:val="20"/>
                <w:szCs w:val="20"/>
                <w:lang w:val="et-EE" w:eastAsia="et-EE"/>
              </w:rPr>
            </w:pPr>
            <w:r w:rsidRPr="00912F22">
              <w:rPr>
                <w:b/>
                <w:bCs/>
                <w:sz w:val="20"/>
                <w:szCs w:val="20"/>
                <w:lang w:val="et-EE" w:eastAsia="et-EE"/>
              </w:rPr>
              <w:t>128 393</w:t>
            </w:r>
          </w:p>
        </w:tc>
      </w:tr>
    </w:tbl>
    <w:p w:rsidR="004C6042" w:rsidRPr="00C102A5" w:rsidRDefault="00FE0274" w:rsidP="004C6042">
      <w:pPr>
        <w:rPr>
          <w:b/>
          <w:sz w:val="20"/>
          <w:szCs w:val="20"/>
          <w:lang w:val="et-EE"/>
        </w:rPr>
      </w:pPr>
      <w:r>
        <w:rPr>
          <w:b/>
          <w:sz w:val="20"/>
          <w:szCs w:val="20"/>
          <w:lang w:val="et-EE"/>
        </w:rPr>
        <w:br/>
      </w:r>
      <w:r w:rsidR="004C6042" w:rsidRPr="00C102A5">
        <w:rPr>
          <w:b/>
          <w:sz w:val="20"/>
          <w:szCs w:val="20"/>
          <w:lang w:val="et-EE"/>
        </w:rPr>
        <w:t>Tabel 4. Viru-Nigula valla füüsilise isiku tulumaksu laekumise prognoos</w:t>
      </w:r>
      <w:r w:rsidR="004C6042">
        <w:rPr>
          <w:b/>
          <w:sz w:val="20"/>
          <w:szCs w:val="20"/>
          <w:lang w:val="et-EE"/>
        </w:rPr>
        <w:t>.</w:t>
      </w:r>
    </w:p>
    <w:p w:rsidR="004C6042" w:rsidRDefault="004C6042" w:rsidP="00FA1A35">
      <w:pPr>
        <w:spacing w:line="276" w:lineRule="auto"/>
        <w:jc w:val="both"/>
        <w:rPr>
          <w:lang w:val="et-EE"/>
        </w:rPr>
      </w:pPr>
    </w:p>
    <w:p w:rsidR="00924C20" w:rsidRPr="007643EC" w:rsidRDefault="00F80763" w:rsidP="00FA1A35">
      <w:pPr>
        <w:spacing w:line="276" w:lineRule="auto"/>
        <w:jc w:val="both"/>
        <w:rPr>
          <w:lang w:val="et-EE"/>
        </w:rPr>
      </w:pPr>
      <w:r w:rsidRPr="007643EC">
        <w:rPr>
          <w:lang w:val="et-EE"/>
        </w:rPr>
        <w:t>Tulumaksu l</w:t>
      </w:r>
      <w:r w:rsidR="00924C20" w:rsidRPr="007643EC">
        <w:rPr>
          <w:lang w:val="et-EE"/>
        </w:rPr>
        <w:t xml:space="preserve">aekumise prognoosi aluseks on kolm </w:t>
      </w:r>
      <w:r w:rsidR="00955C1D" w:rsidRPr="007643EC">
        <w:rPr>
          <w:lang w:val="et-EE"/>
        </w:rPr>
        <w:t xml:space="preserve">peamist </w:t>
      </w:r>
      <w:r w:rsidR="00924C20" w:rsidRPr="007643EC">
        <w:rPr>
          <w:lang w:val="et-EE"/>
        </w:rPr>
        <w:t>kompone</w:t>
      </w:r>
      <w:r w:rsidR="00955C1D" w:rsidRPr="007643EC">
        <w:rPr>
          <w:lang w:val="et-EE"/>
        </w:rPr>
        <w:t>nti: maksumaksjate arv, keskmin</w:t>
      </w:r>
      <w:r w:rsidR="00924C20" w:rsidRPr="007643EC">
        <w:rPr>
          <w:lang w:val="et-EE"/>
        </w:rPr>
        <w:t>e br</w:t>
      </w:r>
      <w:r w:rsidRPr="007643EC">
        <w:rPr>
          <w:lang w:val="et-EE"/>
        </w:rPr>
        <w:t>uto</w:t>
      </w:r>
      <w:r w:rsidR="00955C1D" w:rsidRPr="007643EC">
        <w:rPr>
          <w:lang w:val="et-EE"/>
        </w:rPr>
        <w:t>sissetulek</w:t>
      </w:r>
      <w:r w:rsidR="00924C20" w:rsidRPr="007643EC">
        <w:rPr>
          <w:lang w:val="et-EE"/>
        </w:rPr>
        <w:t xml:space="preserve"> ja FIT laekumise brutotulu protsent</w:t>
      </w:r>
      <w:r w:rsidR="00955C1D" w:rsidRPr="007643EC">
        <w:rPr>
          <w:lang w:val="et-EE"/>
        </w:rPr>
        <w:t xml:space="preserve"> (riigi keskvalitsuse otsusel)</w:t>
      </w:r>
      <w:r w:rsidR="00924C20" w:rsidRPr="007643EC">
        <w:rPr>
          <w:lang w:val="et-EE"/>
        </w:rPr>
        <w:t xml:space="preserve">. Prognooside koostamisel on arvestatud piirkonna senist näitajate dünaamikat. Samuti on arvestatud keskvalitsuse otsust suurendada </w:t>
      </w:r>
      <w:r w:rsidRPr="007643EC">
        <w:rPr>
          <w:lang w:val="et-EE"/>
        </w:rPr>
        <w:t>kohalikele omavalitsustele</w:t>
      </w:r>
      <w:r w:rsidR="00924C20" w:rsidRPr="007643EC">
        <w:rPr>
          <w:lang w:val="et-EE"/>
        </w:rPr>
        <w:t xml:space="preserve"> kantava brutotulu protsenti alates 2019</w:t>
      </w:r>
      <w:r w:rsidR="00871989" w:rsidRPr="007643EC">
        <w:rPr>
          <w:lang w:val="et-EE"/>
        </w:rPr>
        <w:t>.</w:t>
      </w:r>
      <w:r w:rsidR="00924C20" w:rsidRPr="007643EC">
        <w:rPr>
          <w:lang w:val="et-EE"/>
        </w:rPr>
        <w:t xml:space="preserve"> aastast ja järgmistel aastatel. FIT laekumise kasv on toodud real „Koefitsiendid kokku“, kus on näha, et FIT laekumise prognoosid jäävad alla riigi eelarvestrateegias prognoosidele. Samal ajal 2018</w:t>
      </w:r>
      <w:r w:rsidR="00871989" w:rsidRPr="007643EC">
        <w:rPr>
          <w:lang w:val="et-EE"/>
        </w:rPr>
        <w:t>.</w:t>
      </w:r>
      <w:r w:rsidR="00C4146D">
        <w:rPr>
          <w:lang w:val="et-EE"/>
        </w:rPr>
        <w:t xml:space="preserve"> aasta laekumise (6</w:t>
      </w:r>
      <w:r w:rsidR="00924C20" w:rsidRPr="007643EC">
        <w:rPr>
          <w:lang w:val="et-EE"/>
        </w:rPr>
        <w:t xml:space="preserve"> kuud) võrdlus 2017</w:t>
      </w:r>
      <w:r w:rsidRPr="007643EC">
        <w:rPr>
          <w:lang w:val="et-EE"/>
        </w:rPr>
        <w:t>. aasta</w:t>
      </w:r>
      <w:r w:rsidR="00C4146D">
        <w:rPr>
          <w:lang w:val="et-EE"/>
        </w:rPr>
        <w:t xml:space="preserve"> sama perioodiga </w:t>
      </w:r>
      <w:r w:rsidR="00C4146D">
        <w:rPr>
          <w:lang w:val="et-EE"/>
        </w:rPr>
        <w:lastRenderedPageBreak/>
        <w:t>näitab ca 13</w:t>
      </w:r>
      <w:r w:rsidR="00924C20" w:rsidRPr="007643EC">
        <w:rPr>
          <w:lang w:val="et-EE"/>
        </w:rPr>
        <w:t>%-st kasvu</w:t>
      </w:r>
      <w:r w:rsidRPr="007643EC">
        <w:rPr>
          <w:lang w:val="et-EE"/>
        </w:rPr>
        <w:t>.</w:t>
      </w:r>
      <w:r w:rsidR="00924C20" w:rsidRPr="007643EC">
        <w:rPr>
          <w:lang w:val="et-EE"/>
        </w:rPr>
        <w:t xml:space="preserve"> Järgmistel aastatel kasv aeglustub. Prognooside koostamisel peab arvestama, et võimalike tagasilöökide korral ei teki</w:t>
      </w:r>
      <w:r w:rsidRPr="007643EC">
        <w:rPr>
          <w:lang w:val="et-EE"/>
        </w:rPr>
        <w:t xml:space="preserve">ks olulisi tagasiminekuid </w:t>
      </w:r>
      <w:r w:rsidR="00924C20" w:rsidRPr="007643EC">
        <w:rPr>
          <w:lang w:val="et-EE"/>
        </w:rPr>
        <w:t>valla eelarve</w:t>
      </w:r>
      <w:r w:rsidRPr="007643EC">
        <w:rPr>
          <w:lang w:val="et-EE"/>
        </w:rPr>
        <w:t>s</w:t>
      </w:r>
      <w:r w:rsidR="00871989" w:rsidRPr="007643EC">
        <w:rPr>
          <w:lang w:val="et-EE"/>
        </w:rPr>
        <w:t>.</w:t>
      </w:r>
    </w:p>
    <w:p w:rsidR="00A47CF8" w:rsidRPr="007643EC" w:rsidRDefault="00A47CF8" w:rsidP="00FA1A35">
      <w:pPr>
        <w:spacing w:line="276" w:lineRule="auto"/>
        <w:jc w:val="both"/>
        <w:rPr>
          <w:lang w:val="et-EE"/>
        </w:rPr>
      </w:pPr>
    </w:p>
    <w:p w:rsidR="00A47CF8" w:rsidRPr="007643EC" w:rsidRDefault="00A47CF8" w:rsidP="00FA1A35">
      <w:pPr>
        <w:spacing w:line="276" w:lineRule="auto"/>
        <w:jc w:val="both"/>
        <w:rPr>
          <w:lang w:val="et-EE"/>
        </w:rPr>
      </w:pPr>
      <w:r w:rsidRPr="007643EC">
        <w:rPr>
          <w:lang w:val="et-EE"/>
        </w:rPr>
        <w:t>R</w:t>
      </w:r>
      <w:r w:rsidR="00871989" w:rsidRPr="007643EC">
        <w:rPr>
          <w:lang w:val="et-EE"/>
        </w:rPr>
        <w:t>ahandusministeeriumi</w:t>
      </w:r>
      <w:r w:rsidRPr="007643EC">
        <w:rPr>
          <w:lang w:val="et-EE"/>
        </w:rPr>
        <w:t xml:space="preserve"> eestvedamisel on kavandatud FIT brutotulu suurendamine. Läbirääkimised teiste ministeeriumidega käivad veel täiendavate toetuste lisamisel FIT brutotulu protsenti – 11,96. </w:t>
      </w:r>
      <w:r w:rsidR="00871989" w:rsidRPr="007643EC">
        <w:rPr>
          <w:lang w:val="et-EE"/>
        </w:rPr>
        <w:t>E</w:t>
      </w:r>
      <w:r w:rsidRPr="007643EC">
        <w:rPr>
          <w:lang w:val="et-EE"/>
        </w:rPr>
        <w:t>elarvestrateegia koostamise ajal veel konkreetseid otsuseid vastu võetud ei ol</w:t>
      </w:r>
      <w:r w:rsidR="00871989" w:rsidRPr="007643EC">
        <w:rPr>
          <w:lang w:val="et-EE"/>
        </w:rPr>
        <w:t>e</w:t>
      </w:r>
      <w:r w:rsidRPr="007643EC">
        <w:rPr>
          <w:lang w:val="et-EE"/>
        </w:rPr>
        <w:t xml:space="preserve"> ja seda tõusu </w:t>
      </w:r>
      <w:r w:rsidR="00871989" w:rsidRPr="007643EC">
        <w:rPr>
          <w:lang w:val="et-EE"/>
        </w:rPr>
        <w:t xml:space="preserve">Viru-Nigula </w:t>
      </w:r>
      <w:r w:rsidRPr="007643EC">
        <w:rPr>
          <w:lang w:val="et-EE"/>
        </w:rPr>
        <w:t>valla eelarvestrateegiasse planeeritud ei ole.</w:t>
      </w:r>
    </w:p>
    <w:p w:rsidR="00924C20" w:rsidRPr="007643EC" w:rsidRDefault="00924C20" w:rsidP="00FA1A35">
      <w:pPr>
        <w:spacing w:line="276" w:lineRule="auto"/>
        <w:rPr>
          <w:lang w:val="et-EE"/>
        </w:rPr>
      </w:pPr>
    </w:p>
    <w:p w:rsidR="00897629" w:rsidRPr="007643EC" w:rsidRDefault="00897629" w:rsidP="00FA1A35">
      <w:pPr>
        <w:spacing w:line="276" w:lineRule="auto"/>
        <w:jc w:val="both"/>
        <w:rPr>
          <w:lang w:val="et-EE"/>
        </w:rPr>
      </w:pPr>
      <w:r w:rsidRPr="007643EC">
        <w:rPr>
          <w:lang w:val="et-EE"/>
        </w:rPr>
        <w:t>FIT laekumise prognoos on esitatud joonisel 2. Näitaja iseloomustamiseks on kasutatud 10 aasta perioodi, mis annab ülevaatlikuma pildi FIT dünaamikast.</w:t>
      </w:r>
    </w:p>
    <w:p w:rsidR="00897629" w:rsidRPr="00C96C1B" w:rsidRDefault="00897629" w:rsidP="00897629">
      <w:pPr>
        <w:jc w:val="both"/>
        <w:rPr>
          <w:rFonts w:ascii="Verdana" w:hAnsi="Verdana" w:cstheme="minorHAnsi"/>
          <w:sz w:val="22"/>
          <w:szCs w:val="22"/>
          <w:lang w:val="et-EE"/>
        </w:rPr>
      </w:pPr>
    </w:p>
    <w:p w:rsidR="00924C20" w:rsidRPr="006B14A4" w:rsidRDefault="00912F22" w:rsidP="00924C20">
      <w:pPr>
        <w:jc w:val="center"/>
        <w:rPr>
          <w:sz w:val="28"/>
          <w:szCs w:val="28"/>
          <w:lang w:val="et-EE"/>
        </w:rPr>
      </w:pPr>
      <w:r>
        <w:rPr>
          <w:noProof/>
          <w:lang w:val="et-EE" w:eastAsia="et-EE"/>
        </w:rPr>
        <w:drawing>
          <wp:inline distT="0" distB="0" distL="0" distR="0">
            <wp:extent cx="5210175" cy="2857500"/>
            <wp:effectExtent l="0" t="0" r="0" b="0"/>
            <wp:docPr id="11" name="Diagramm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97629" w:rsidRDefault="00897629" w:rsidP="00F80763">
      <w:pPr>
        <w:rPr>
          <w:rFonts w:ascii="Trebuchet MS" w:hAnsi="Trebuchet MS"/>
          <w:b/>
          <w:sz w:val="22"/>
          <w:szCs w:val="22"/>
          <w:lang w:val="et-EE"/>
        </w:rPr>
      </w:pPr>
    </w:p>
    <w:p w:rsidR="00F80763" w:rsidRPr="007643EC" w:rsidRDefault="0071393F" w:rsidP="00F80763">
      <w:pPr>
        <w:rPr>
          <w:sz w:val="20"/>
          <w:szCs w:val="20"/>
          <w:lang w:val="et-EE"/>
        </w:rPr>
      </w:pPr>
      <w:r w:rsidRPr="007643EC">
        <w:rPr>
          <w:b/>
          <w:sz w:val="20"/>
          <w:szCs w:val="20"/>
          <w:lang w:val="et-EE"/>
        </w:rPr>
        <w:t>Joonis 2</w:t>
      </w:r>
      <w:r w:rsidR="00F80763" w:rsidRPr="007643EC">
        <w:rPr>
          <w:b/>
          <w:sz w:val="20"/>
          <w:szCs w:val="20"/>
          <w:lang w:val="et-EE"/>
        </w:rPr>
        <w:t xml:space="preserve">. </w:t>
      </w:r>
      <w:r w:rsidR="00897629" w:rsidRPr="007643EC">
        <w:rPr>
          <w:b/>
          <w:sz w:val="20"/>
          <w:szCs w:val="20"/>
          <w:lang w:val="et-EE"/>
        </w:rPr>
        <w:t>Füüsilise isiku tulumaksu</w:t>
      </w:r>
      <w:r w:rsidR="00F80763" w:rsidRPr="007643EC">
        <w:rPr>
          <w:b/>
          <w:sz w:val="20"/>
          <w:szCs w:val="20"/>
          <w:lang w:val="et-EE"/>
        </w:rPr>
        <w:t xml:space="preserve"> laekumine ja prognoos kuni 2023</w:t>
      </w:r>
      <w:r w:rsidR="00C96C1B" w:rsidRPr="007643EC">
        <w:rPr>
          <w:sz w:val="20"/>
          <w:szCs w:val="20"/>
          <w:lang w:val="et-EE"/>
        </w:rPr>
        <w:t>.</w:t>
      </w:r>
      <w:r w:rsidR="00F80763" w:rsidRPr="007643EC">
        <w:rPr>
          <w:sz w:val="20"/>
          <w:szCs w:val="20"/>
          <w:lang w:val="et-EE"/>
        </w:rPr>
        <w:t xml:space="preserve"> </w:t>
      </w:r>
    </w:p>
    <w:p w:rsidR="00897629" w:rsidRDefault="00897629" w:rsidP="00924C20">
      <w:pPr>
        <w:rPr>
          <w:rFonts w:ascii="Trebuchet MS" w:hAnsi="Trebuchet MS"/>
          <w:lang w:val="et-EE"/>
        </w:rPr>
      </w:pPr>
    </w:p>
    <w:p w:rsidR="008C75F9" w:rsidRPr="007643EC" w:rsidRDefault="00897629" w:rsidP="00FA1A35">
      <w:pPr>
        <w:spacing w:line="276" w:lineRule="auto"/>
        <w:rPr>
          <w:lang w:val="et-EE"/>
        </w:rPr>
      </w:pPr>
      <w:r w:rsidRPr="007643EC">
        <w:rPr>
          <w:lang w:val="et-EE"/>
        </w:rPr>
        <w:t>Tabelis 5</w:t>
      </w:r>
      <w:r w:rsidR="00F80763" w:rsidRPr="007643EC">
        <w:rPr>
          <w:lang w:val="et-EE"/>
        </w:rPr>
        <w:t xml:space="preserve"> </w:t>
      </w:r>
      <w:r w:rsidRPr="007643EC">
        <w:rPr>
          <w:lang w:val="et-EE"/>
        </w:rPr>
        <w:t>on esitatud</w:t>
      </w:r>
      <w:r w:rsidR="00F80763" w:rsidRPr="007643EC">
        <w:rPr>
          <w:lang w:val="et-EE"/>
        </w:rPr>
        <w:t xml:space="preserve"> FIT </w:t>
      </w:r>
      <w:r w:rsidR="0071393F" w:rsidRPr="007643EC">
        <w:rPr>
          <w:lang w:val="et-EE"/>
        </w:rPr>
        <w:t xml:space="preserve">laekumise võrdlus </w:t>
      </w:r>
      <w:r w:rsidR="00F80763" w:rsidRPr="007643EC">
        <w:rPr>
          <w:lang w:val="et-EE"/>
        </w:rPr>
        <w:t>aastate</w:t>
      </w:r>
      <w:r w:rsidRPr="007643EC">
        <w:rPr>
          <w:lang w:val="et-EE"/>
        </w:rPr>
        <w:t>l</w:t>
      </w:r>
      <w:r w:rsidR="00F80763" w:rsidRPr="007643EC">
        <w:rPr>
          <w:lang w:val="et-EE"/>
        </w:rPr>
        <w:t xml:space="preserve"> 2017 ja 2018 </w:t>
      </w:r>
      <w:r w:rsidR="0071393F" w:rsidRPr="007643EC">
        <w:rPr>
          <w:lang w:val="et-EE"/>
        </w:rPr>
        <w:t>(</w:t>
      </w:r>
      <w:r w:rsidR="00912F22">
        <w:rPr>
          <w:lang w:val="et-EE"/>
        </w:rPr>
        <w:t>jaanuar-juuni</w:t>
      </w:r>
      <w:r w:rsidR="0071393F" w:rsidRPr="007643EC">
        <w:rPr>
          <w:lang w:val="et-EE"/>
        </w:rPr>
        <w:t>)</w:t>
      </w:r>
      <w:r w:rsidRPr="007643EC">
        <w:rPr>
          <w:lang w:val="et-EE"/>
        </w:rPr>
        <w:t>.</w:t>
      </w:r>
      <w:r w:rsidR="0071393F" w:rsidRPr="007643EC">
        <w:rPr>
          <w:lang w:val="et-EE"/>
        </w:rPr>
        <w:t xml:space="preserve"> Muutuse </w:t>
      </w:r>
      <w:r w:rsidRPr="007643EC">
        <w:rPr>
          <w:lang w:val="et-EE"/>
        </w:rPr>
        <w:t>protsent</w:t>
      </w:r>
      <w:r w:rsidR="0071393F" w:rsidRPr="007643EC">
        <w:rPr>
          <w:lang w:val="et-EE"/>
        </w:rPr>
        <w:t xml:space="preserve"> on kasv konkreetse kuu kohta.</w:t>
      </w:r>
    </w:p>
    <w:p w:rsidR="00924C20" w:rsidRPr="00F80763" w:rsidRDefault="00924C20" w:rsidP="00924C20">
      <w:pPr>
        <w:rPr>
          <w:rFonts w:ascii="Trebuchet MS" w:hAnsi="Trebuchet MS"/>
          <w:b/>
          <w:sz w:val="22"/>
          <w:szCs w:val="22"/>
          <w:lang w:val="et-EE"/>
        </w:rPr>
      </w:pPr>
    </w:p>
    <w:tbl>
      <w:tblPr>
        <w:tblW w:w="9118" w:type="dxa"/>
        <w:tblCellMar>
          <w:left w:w="70" w:type="dxa"/>
          <w:right w:w="70" w:type="dxa"/>
        </w:tblCellMar>
        <w:tblLook w:val="04A0" w:firstRow="1" w:lastRow="0" w:firstColumn="1" w:lastColumn="0" w:noHBand="0" w:noVBand="1"/>
      </w:tblPr>
      <w:tblGrid>
        <w:gridCol w:w="1824"/>
        <w:gridCol w:w="1757"/>
        <w:gridCol w:w="2089"/>
        <w:gridCol w:w="1724"/>
        <w:gridCol w:w="1724"/>
      </w:tblGrid>
      <w:tr w:rsidR="00912F22" w:rsidRPr="00341EE2" w:rsidTr="00341EE2">
        <w:trPr>
          <w:trHeight w:val="311"/>
        </w:trPr>
        <w:tc>
          <w:tcPr>
            <w:tcW w:w="1824" w:type="dxa"/>
            <w:tcBorders>
              <w:top w:val="single" w:sz="8" w:space="0" w:color="auto"/>
              <w:left w:val="single" w:sz="8" w:space="0" w:color="auto"/>
              <w:bottom w:val="single" w:sz="8" w:space="0" w:color="auto"/>
              <w:right w:val="single" w:sz="4" w:space="0" w:color="auto"/>
            </w:tcBorders>
            <w:shd w:val="clear" w:color="auto" w:fill="D6E3BC" w:themeFill="accent3" w:themeFillTint="66"/>
            <w:noWrap/>
            <w:vAlign w:val="bottom"/>
            <w:hideMark/>
          </w:tcPr>
          <w:p w:rsidR="00912F22" w:rsidRPr="00341EE2" w:rsidRDefault="009143F4" w:rsidP="009143F4">
            <w:pPr>
              <w:jc w:val="center"/>
              <w:rPr>
                <w:b/>
                <w:color w:val="000000"/>
                <w:lang w:val="et-EE" w:eastAsia="et-EE"/>
              </w:rPr>
            </w:pPr>
            <w:r w:rsidRPr="00341EE2">
              <w:rPr>
                <w:b/>
                <w:color w:val="000000"/>
                <w:sz w:val="22"/>
                <w:szCs w:val="22"/>
                <w:lang w:val="et-EE" w:eastAsia="et-EE"/>
              </w:rPr>
              <w:t>K</w:t>
            </w:r>
            <w:r w:rsidR="00912F22" w:rsidRPr="00341EE2">
              <w:rPr>
                <w:b/>
                <w:color w:val="000000"/>
                <w:sz w:val="22"/>
                <w:szCs w:val="22"/>
                <w:lang w:val="et-EE" w:eastAsia="et-EE"/>
              </w:rPr>
              <w:t>uu</w:t>
            </w:r>
          </w:p>
        </w:tc>
        <w:tc>
          <w:tcPr>
            <w:tcW w:w="1757" w:type="dxa"/>
            <w:tcBorders>
              <w:top w:val="single" w:sz="8" w:space="0" w:color="auto"/>
              <w:left w:val="nil"/>
              <w:bottom w:val="single" w:sz="8" w:space="0" w:color="auto"/>
              <w:right w:val="single" w:sz="4" w:space="0" w:color="auto"/>
            </w:tcBorders>
            <w:shd w:val="clear" w:color="auto" w:fill="D6E3BC" w:themeFill="accent3" w:themeFillTint="66"/>
            <w:noWrap/>
            <w:vAlign w:val="bottom"/>
            <w:hideMark/>
          </w:tcPr>
          <w:p w:rsidR="00912F22" w:rsidRPr="00341EE2" w:rsidRDefault="00912F22" w:rsidP="009143F4">
            <w:pPr>
              <w:jc w:val="center"/>
              <w:rPr>
                <w:b/>
                <w:color w:val="000000"/>
                <w:lang w:val="et-EE" w:eastAsia="et-EE"/>
              </w:rPr>
            </w:pPr>
            <w:r w:rsidRPr="00341EE2">
              <w:rPr>
                <w:b/>
                <w:color w:val="000000"/>
                <w:sz w:val="22"/>
                <w:szCs w:val="22"/>
                <w:lang w:val="et-EE" w:eastAsia="et-EE"/>
              </w:rPr>
              <w:t>2017</w:t>
            </w:r>
          </w:p>
        </w:tc>
        <w:tc>
          <w:tcPr>
            <w:tcW w:w="2089" w:type="dxa"/>
            <w:tcBorders>
              <w:top w:val="single" w:sz="8" w:space="0" w:color="auto"/>
              <w:left w:val="nil"/>
              <w:bottom w:val="single" w:sz="8" w:space="0" w:color="auto"/>
              <w:right w:val="single" w:sz="4" w:space="0" w:color="auto"/>
            </w:tcBorders>
            <w:shd w:val="clear" w:color="auto" w:fill="D6E3BC" w:themeFill="accent3" w:themeFillTint="66"/>
            <w:noWrap/>
            <w:vAlign w:val="bottom"/>
            <w:hideMark/>
          </w:tcPr>
          <w:p w:rsidR="00912F22" w:rsidRPr="00341EE2" w:rsidRDefault="00912F22" w:rsidP="009143F4">
            <w:pPr>
              <w:jc w:val="center"/>
              <w:rPr>
                <w:b/>
                <w:color w:val="000000"/>
                <w:lang w:val="et-EE" w:eastAsia="et-EE"/>
              </w:rPr>
            </w:pPr>
            <w:r w:rsidRPr="00341EE2">
              <w:rPr>
                <w:b/>
                <w:color w:val="000000"/>
                <w:sz w:val="22"/>
                <w:szCs w:val="22"/>
                <w:lang w:val="et-EE" w:eastAsia="et-EE"/>
              </w:rPr>
              <w:t>2018</w:t>
            </w:r>
          </w:p>
        </w:tc>
        <w:tc>
          <w:tcPr>
            <w:tcW w:w="1724" w:type="dxa"/>
            <w:tcBorders>
              <w:top w:val="single" w:sz="8" w:space="0" w:color="auto"/>
              <w:left w:val="nil"/>
              <w:bottom w:val="single" w:sz="8" w:space="0" w:color="auto"/>
              <w:right w:val="single" w:sz="4" w:space="0" w:color="auto"/>
            </w:tcBorders>
            <w:shd w:val="clear" w:color="auto" w:fill="D6E3BC" w:themeFill="accent3" w:themeFillTint="66"/>
            <w:noWrap/>
            <w:vAlign w:val="bottom"/>
            <w:hideMark/>
          </w:tcPr>
          <w:p w:rsidR="00912F22" w:rsidRPr="00341EE2" w:rsidRDefault="00912F22" w:rsidP="009143F4">
            <w:pPr>
              <w:jc w:val="center"/>
              <w:rPr>
                <w:b/>
                <w:color w:val="000000"/>
                <w:lang w:val="et-EE" w:eastAsia="et-EE"/>
              </w:rPr>
            </w:pPr>
            <w:r w:rsidRPr="00341EE2">
              <w:rPr>
                <w:b/>
                <w:color w:val="000000"/>
                <w:sz w:val="22"/>
                <w:szCs w:val="22"/>
                <w:lang w:val="et-EE" w:eastAsia="et-EE"/>
              </w:rPr>
              <w:t>vahe</w:t>
            </w:r>
          </w:p>
        </w:tc>
        <w:tc>
          <w:tcPr>
            <w:tcW w:w="1724" w:type="dxa"/>
            <w:tcBorders>
              <w:top w:val="single" w:sz="8" w:space="0" w:color="auto"/>
              <w:left w:val="nil"/>
              <w:bottom w:val="single" w:sz="8" w:space="0" w:color="auto"/>
              <w:right w:val="single" w:sz="8" w:space="0" w:color="auto"/>
            </w:tcBorders>
            <w:shd w:val="clear" w:color="auto" w:fill="D6E3BC" w:themeFill="accent3" w:themeFillTint="66"/>
            <w:noWrap/>
            <w:vAlign w:val="bottom"/>
            <w:hideMark/>
          </w:tcPr>
          <w:p w:rsidR="00912F22" w:rsidRPr="00341EE2" w:rsidRDefault="00912F22" w:rsidP="009143F4">
            <w:pPr>
              <w:jc w:val="center"/>
              <w:rPr>
                <w:b/>
                <w:color w:val="000000"/>
                <w:lang w:val="et-EE" w:eastAsia="et-EE"/>
              </w:rPr>
            </w:pPr>
            <w:r w:rsidRPr="00341EE2">
              <w:rPr>
                <w:b/>
                <w:color w:val="000000"/>
                <w:sz w:val="22"/>
                <w:szCs w:val="22"/>
                <w:lang w:val="et-EE" w:eastAsia="et-EE"/>
              </w:rPr>
              <w:t>muutus %</w:t>
            </w:r>
          </w:p>
        </w:tc>
      </w:tr>
      <w:tr w:rsidR="00341EE2" w:rsidRPr="00341EE2" w:rsidTr="00912F22">
        <w:trPr>
          <w:trHeight w:val="311"/>
        </w:trPr>
        <w:tc>
          <w:tcPr>
            <w:tcW w:w="1824" w:type="dxa"/>
            <w:tcBorders>
              <w:top w:val="single" w:sz="8" w:space="0" w:color="auto"/>
              <w:left w:val="single" w:sz="8" w:space="0" w:color="auto"/>
              <w:bottom w:val="single" w:sz="8" w:space="0" w:color="auto"/>
              <w:right w:val="single" w:sz="4" w:space="0" w:color="auto"/>
            </w:tcBorders>
            <w:shd w:val="clear" w:color="auto" w:fill="auto"/>
            <w:noWrap/>
            <w:vAlign w:val="bottom"/>
          </w:tcPr>
          <w:p w:rsidR="00341EE2" w:rsidRPr="00341EE2" w:rsidRDefault="00341EE2" w:rsidP="009143F4">
            <w:pPr>
              <w:jc w:val="center"/>
              <w:rPr>
                <w:b/>
                <w:color w:val="000000"/>
                <w:lang w:val="et-EE" w:eastAsia="et-EE"/>
              </w:rPr>
            </w:pPr>
          </w:p>
        </w:tc>
        <w:tc>
          <w:tcPr>
            <w:tcW w:w="1757" w:type="dxa"/>
            <w:tcBorders>
              <w:top w:val="single" w:sz="8" w:space="0" w:color="auto"/>
              <w:left w:val="nil"/>
              <w:bottom w:val="single" w:sz="8" w:space="0" w:color="auto"/>
              <w:right w:val="single" w:sz="4" w:space="0" w:color="auto"/>
            </w:tcBorders>
            <w:shd w:val="clear" w:color="auto" w:fill="auto"/>
            <w:noWrap/>
            <w:vAlign w:val="bottom"/>
          </w:tcPr>
          <w:p w:rsidR="00341EE2" w:rsidRPr="00341EE2" w:rsidRDefault="00341EE2" w:rsidP="009143F4">
            <w:pPr>
              <w:jc w:val="center"/>
              <w:rPr>
                <w:b/>
                <w:color w:val="000000"/>
                <w:lang w:val="et-EE" w:eastAsia="et-EE"/>
              </w:rPr>
            </w:pPr>
          </w:p>
        </w:tc>
        <w:tc>
          <w:tcPr>
            <w:tcW w:w="2089" w:type="dxa"/>
            <w:tcBorders>
              <w:top w:val="single" w:sz="8" w:space="0" w:color="auto"/>
              <w:left w:val="nil"/>
              <w:bottom w:val="single" w:sz="8" w:space="0" w:color="auto"/>
              <w:right w:val="single" w:sz="4" w:space="0" w:color="auto"/>
            </w:tcBorders>
            <w:shd w:val="clear" w:color="auto" w:fill="auto"/>
            <w:noWrap/>
            <w:vAlign w:val="bottom"/>
          </w:tcPr>
          <w:p w:rsidR="00341EE2" w:rsidRPr="00341EE2" w:rsidRDefault="00341EE2" w:rsidP="009143F4">
            <w:pPr>
              <w:jc w:val="center"/>
              <w:rPr>
                <w:b/>
                <w:color w:val="000000"/>
                <w:lang w:val="et-EE" w:eastAsia="et-EE"/>
              </w:rPr>
            </w:pPr>
          </w:p>
        </w:tc>
        <w:tc>
          <w:tcPr>
            <w:tcW w:w="1724" w:type="dxa"/>
            <w:tcBorders>
              <w:top w:val="single" w:sz="8" w:space="0" w:color="auto"/>
              <w:left w:val="nil"/>
              <w:bottom w:val="single" w:sz="8" w:space="0" w:color="auto"/>
              <w:right w:val="single" w:sz="4" w:space="0" w:color="auto"/>
            </w:tcBorders>
            <w:shd w:val="clear" w:color="auto" w:fill="auto"/>
            <w:noWrap/>
            <w:vAlign w:val="bottom"/>
          </w:tcPr>
          <w:p w:rsidR="00341EE2" w:rsidRPr="00341EE2" w:rsidRDefault="00341EE2" w:rsidP="009143F4">
            <w:pPr>
              <w:jc w:val="center"/>
              <w:rPr>
                <w:b/>
                <w:color w:val="000000"/>
                <w:lang w:val="et-EE" w:eastAsia="et-EE"/>
              </w:rPr>
            </w:pPr>
          </w:p>
        </w:tc>
        <w:tc>
          <w:tcPr>
            <w:tcW w:w="1724" w:type="dxa"/>
            <w:tcBorders>
              <w:top w:val="single" w:sz="8" w:space="0" w:color="auto"/>
              <w:left w:val="nil"/>
              <w:bottom w:val="single" w:sz="8" w:space="0" w:color="auto"/>
              <w:right w:val="single" w:sz="8" w:space="0" w:color="auto"/>
            </w:tcBorders>
            <w:shd w:val="clear" w:color="auto" w:fill="auto"/>
            <w:noWrap/>
            <w:vAlign w:val="bottom"/>
          </w:tcPr>
          <w:p w:rsidR="00341EE2" w:rsidRPr="00341EE2" w:rsidRDefault="00341EE2" w:rsidP="009143F4">
            <w:pPr>
              <w:jc w:val="center"/>
              <w:rPr>
                <w:b/>
                <w:color w:val="000000"/>
                <w:lang w:val="et-EE" w:eastAsia="et-EE"/>
              </w:rPr>
            </w:pPr>
          </w:p>
        </w:tc>
      </w:tr>
      <w:tr w:rsidR="00912F22" w:rsidRPr="00912F22" w:rsidTr="00912F22">
        <w:trPr>
          <w:trHeight w:val="296"/>
        </w:trPr>
        <w:tc>
          <w:tcPr>
            <w:tcW w:w="1824" w:type="dxa"/>
            <w:tcBorders>
              <w:top w:val="nil"/>
              <w:left w:val="single" w:sz="8" w:space="0" w:color="auto"/>
              <w:bottom w:val="single" w:sz="4" w:space="0" w:color="auto"/>
              <w:right w:val="single" w:sz="4" w:space="0" w:color="auto"/>
            </w:tcBorders>
            <w:shd w:val="clear" w:color="auto" w:fill="auto"/>
            <w:noWrap/>
            <w:vAlign w:val="bottom"/>
            <w:hideMark/>
          </w:tcPr>
          <w:p w:rsidR="00912F22" w:rsidRPr="00912F22" w:rsidRDefault="00912F22" w:rsidP="00912F22">
            <w:pPr>
              <w:rPr>
                <w:color w:val="000000"/>
                <w:lang w:val="et-EE" w:eastAsia="et-EE"/>
              </w:rPr>
            </w:pPr>
            <w:r w:rsidRPr="00912F22">
              <w:rPr>
                <w:color w:val="000000"/>
                <w:sz w:val="22"/>
                <w:szCs w:val="22"/>
                <w:lang w:val="et-EE" w:eastAsia="et-EE"/>
              </w:rPr>
              <w:t>jaanuar</w:t>
            </w:r>
          </w:p>
        </w:tc>
        <w:tc>
          <w:tcPr>
            <w:tcW w:w="1757" w:type="dxa"/>
            <w:tcBorders>
              <w:top w:val="nil"/>
              <w:left w:val="nil"/>
              <w:bottom w:val="single" w:sz="4" w:space="0" w:color="auto"/>
              <w:right w:val="single" w:sz="4"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320 714</w:t>
            </w:r>
          </w:p>
        </w:tc>
        <w:tc>
          <w:tcPr>
            <w:tcW w:w="2089" w:type="dxa"/>
            <w:tcBorders>
              <w:top w:val="nil"/>
              <w:left w:val="nil"/>
              <w:bottom w:val="single" w:sz="4" w:space="0" w:color="auto"/>
              <w:right w:val="single" w:sz="4"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365 495</w:t>
            </w:r>
          </w:p>
        </w:tc>
        <w:tc>
          <w:tcPr>
            <w:tcW w:w="1724" w:type="dxa"/>
            <w:tcBorders>
              <w:top w:val="nil"/>
              <w:left w:val="nil"/>
              <w:bottom w:val="single" w:sz="4" w:space="0" w:color="auto"/>
              <w:right w:val="single" w:sz="4"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44 781</w:t>
            </w:r>
          </w:p>
        </w:tc>
        <w:tc>
          <w:tcPr>
            <w:tcW w:w="1724" w:type="dxa"/>
            <w:tcBorders>
              <w:top w:val="nil"/>
              <w:left w:val="nil"/>
              <w:bottom w:val="single" w:sz="4" w:space="0" w:color="auto"/>
              <w:right w:val="single" w:sz="8"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114,0</w:t>
            </w:r>
          </w:p>
        </w:tc>
      </w:tr>
      <w:tr w:rsidR="00912F22" w:rsidRPr="00912F22" w:rsidTr="00912F22">
        <w:trPr>
          <w:trHeight w:val="296"/>
        </w:trPr>
        <w:tc>
          <w:tcPr>
            <w:tcW w:w="1824" w:type="dxa"/>
            <w:tcBorders>
              <w:top w:val="nil"/>
              <w:left w:val="single" w:sz="8" w:space="0" w:color="auto"/>
              <w:bottom w:val="single" w:sz="4" w:space="0" w:color="auto"/>
              <w:right w:val="single" w:sz="4" w:space="0" w:color="auto"/>
            </w:tcBorders>
            <w:shd w:val="clear" w:color="auto" w:fill="auto"/>
            <w:noWrap/>
            <w:vAlign w:val="bottom"/>
            <w:hideMark/>
          </w:tcPr>
          <w:p w:rsidR="00912F22" w:rsidRPr="00912F22" w:rsidRDefault="00912F22" w:rsidP="00912F22">
            <w:pPr>
              <w:rPr>
                <w:color w:val="000000"/>
                <w:lang w:val="et-EE" w:eastAsia="et-EE"/>
              </w:rPr>
            </w:pPr>
            <w:r w:rsidRPr="00912F22">
              <w:rPr>
                <w:color w:val="000000"/>
                <w:sz w:val="22"/>
                <w:szCs w:val="22"/>
                <w:lang w:val="et-EE" w:eastAsia="et-EE"/>
              </w:rPr>
              <w:t>veebruar</w:t>
            </w:r>
          </w:p>
        </w:tc>
        <w:tc>
          <w:tcPr>
            <w:tcW w:w="1757" w:type="dxa"/>
            <w:tcBorders>
              <w:top w:val="nil"/>
              <w:left w:val="nil"/>
              <w:bottom w:val="single" w:sz="4" w:space="0" w:color="auto"/>
              <w:right w:val="single" w:sz="4"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265 488</w:t>
            </w:r>
          </w:p>
        </w:tc>
        <w:tc>
          <w:tcPr>
            <w:tcW w:w="2089" w:type="dxa"/>
            <w:tcBorders>
              <w:top w:val="nil"/>
              <w:left w:val="nil"/>
              <w:bottom w:val="single" w:sz="4" w:space="0" w:color="auto"/>
              <w:right w:val="single" w:sz="4"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305 783</w:t>
            </w:r>
          </w:p>
        </w:tc>
        <w:tc>
          <w:tcPr>
            <w:tcW w:w="1724" w:type="dxa"/>
            <w:tcBorders>
              <w:top w:val="nil"/>
              <w:left w:val="nil"/>
              <w:bottom w:val="single" w:sz="4" w:space="0" w:color="auto"/>
              <w:right w:val="single" w:sz="4"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40 295</w:t>
            </w:r>
          </w:p>
        </w:tc>
        <w:tc>
          <w:tcPr>
            <w:tcW w:w="1724" w:type="dxa"/>
            <w:tcBorders>
              <w:top w:val="nil"/>
              <w:left w:val="nil"/>
              <w:bottom w:val="single" w:sz="4" w:space="0" w:color="auto"/>
              <w:right w:val="single" w:sz="8"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115,2</w:t>
            </w:r>
          </w:p>
        </w:tc>
      </w:tr>
      <w:tr w:rsidR="00912F22" w:rsidRPr="00912F22" w:rsidTr="00912F22">
        <w:trPr>
          <w:trHeight w:val="296"/>
        </w:trPr>
        <w:tc>
          <w:tcPr>
            <w:tcW w:w="1824" w:type="dxa"/>
            <w:tcBorders>
              <w:top w:val="nil"/>
              <w:left w:val="single" w:sz="8" w:space="0" w:color="auto"/>
              <w:bottom w:val="single" w:sz="4" w:space="0" w:color="auto"/>
              <w:right w:val="single" w:sz="4" w:space="0" w:color="auto"/>
            </w:tcBorders>
            <w:shd w:val="clear" w:color="auto" w:fill="auto"/>
            <w:noWrap/>
            <w:vAlign w:val="bottom"/>
            <w:hideMark/>
          </w:tcPr>
          <w:p w:rsidR="00912F22" w:rsidRPr="00912F22" w:rsidRDefault="00912F22" w:rsidP="00912F22">
            <w:pPr>
              <w:rPr>
                <w:color w:val="000000"/>
                <w:lang w:val="et-EE" w:eastAsia="et-EE"/>
              </w:rPr>
            </w:pPr>
            <w:r w:rsidRPr="00912F22">
              <w:rPr>
                <w:color w:val="000000"/>
                <w:sz w:val="22"/>
                <w:szCs w:val="22"/>
                <w:lang w:val="et-EE" w:eastAsia="et-EE"/>
              </w:rPr>
              <w:t>märts</w:t>
            </w:r>
          </w:p>
        </w:tc>
        <w:tc>
          <w:tcPr>
            <w:tcW w:w="1757" w:type="dxa"/>
            <w:tcBorders>
              <w:top w:val="nil"/>
              <w:left w:val="nil"/>
              <w:bottom w:val="single" w:sz="4" w:space="0" w:color="auto"/>
              <w:right w:val="single" w:sz="4"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271 504</w:t>
            </w:r>
          </w:p>
        </w:tc>
        <w:tc>
          <w:tcPr>
            <w:tcW w:w="2089" w:type="dxa"/>
            <w:tcBorders>
              <w:top w:val="nil"/>
              <w:left w:val="nil"/>
              <w:bottom w:val="single" w:sz="4" w:space="0" w:color="auto"/>
              <w:right w:val="single" w:sz="4"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307 508</w:t>
            </w:r>
          </w:p>
        </w:tc>
        <w:tc>
          <w:tcPr>
            <w:tcW w:w="1724" w:type="dxa"/>
            <w:tcBorders>
              <w:top w:val="nil"/>
              <w:left w:val="nil"/>
              <w:bottom w:val="single" w:sz="4" w:space="0" w:color="auto"/>
              <w:right w:val="single" w:sz="4"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36 004</w:t>
            </w:r>
          </w:p>
        </w:tc>
        <w:tc>
          <w:tcPr>
            <w:tcW w:w="1724" w:type="dxa"/>
            <w:tcBorders>
              <w:top w:val="nil"/>
              <w:left w:val="nil"/>
              <w:bottom w:val="single" w:sz="4" w:space="0" w:color="auto"/>
              <w:right w:val="single" w:sz="8"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113,3</w:t>
            </w:r>
          </w:p>
        </w:tc>
      </w:tr>
      <w:tr w:rsidR="00912F22" w:rsidRPr="00912F22" w:rsidTr="00912F22">
        <w:trPr>
          <w:trHeight w:val="296"/>
        </w:trPr>
        <w:tc>
          <w:tcPr>
            <w:tcW w:w="1824" w:type="dxa"/>
            <w:tcBorders>
              <w:top w:val="nil"/>
              <w:left w:val="single" w:sz="8" w:space="0" w:color="auto"/>
              <w:bottom w:val="single" w:sz="4" w:space="0" w:color="auto"/>
              <w:right w:val="single" w:sz="4" w:space="0" w:color="auto"/>
            </w:tcBorders>
            <w:shd w:val="clear" w:color="auto" w:fill="auto"/>
            <w:noWrap/>
            <w:vAlign w:val="bottom"/>
            <w:hideMark/>
          </w:tcPr>
          <w:p w:rsidR="00912F22" w:rsidRPr="00912F22" w:rsidRDefault="00912F22" w:rsidP="00912F22">
            <w:pPr>
              <w:rPr>
                <w:color w:val="000000"/>
                <w:lang w:val="et-EE" w:eastAsia="et-EE"/>
              </w:rPr>
            </w:pPr>
            <w:r w:rsidRPr="00912F22">
              <w:rPr>
                <w:color w:val="000000"/>
                <w:sz w:val="22"/>
                <w:szCs w:val="22"/>
                <w:lang w:val="et-EE" w:eastAsia="et-EE"/>
              </w:rPr>
              <w:t>aprill</w:t>
            </w:r>
          </w:p>
        </w:tc>
        <w:tc>
          <w:tcPr>
            <w:tcW w:w="1757" w:type="dxa"/>
            <w:tcBorders>
              <w:top w:val="nil"/>
              <w:left w:val="nil"/>
              <w:bottom w:val="single" w:sz="4" w:space="0" w:color="auto"/>
              <w:right w:val="single" w:sz="4"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293 530</w:t>
            </w:r>
          </w:p>
        </w:tc>
        <w:tc>
          <w:tcPr>
            <w:tcW w:w="2089" w:type="dxa"/>
            <w:tcBorders>
              <w:top w:val="nil"/>
              <w:left w:val="nil"/>
              <w:bottom w:val="single" w:sz="4" w:space="0" w:color="auto"/>
              <w:right w:val="single" w:sz="4"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325 052</w:t>
            </w:r>
          </w:p>
        </w:tc>
        <w:tc>
          <w:tcPr>
            <w:tcW w:w="1724" w:type="dxa"/>
            <w:tcBorders>
              <w:top w:val="nil"/>
              <w:left w:val="nil"/>
              <w:bottom w:val="single" w:sz="4" w:space="0" w:color="auto"/>
              <w:right w:val="single" w:sz="4"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31 522</w:t>
            </w:r>
          </w:p>
        </w:tc>
        <w:tc>
          <w:tcPr>
            <w:tcW w:w="1724" w:type="dxa"/>
            <w:tcBorders>
              <w:top w:val="nil"/>
              <w:left w:val="nil"/>
              <w:bottom w:val="single" w:sz="4" w:space="0" w:color="auto"/>
              <w:right w:val="single" w:sz="8"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110,7</w:t>
            </w:r>
          </w:p>
        </w:tc>
      </w:tr>
      <w:tr w:rsidR="00912F22" w:rsidRPr="00912F22" w:rsidTr="00912F22">
        <w:trPr>
          <w:trHeight w:val="296"/>
        </w:trPr>
        <w:tc>
          <w:tcPr>
            <w:tcW w:w="1824" w:type="dxa"/>
            <w:tcBorders>
              <w:top w:val="nil"/>
              <w:left w:val="single" w:sz="8" w:space="0" w:color="auto"/>
              <w:bottom w:val="single" w:sz="4" w:space="0" w:color="auto"/>
              <w:right w:val="single" w:sz="4" w:space="0" w:color="auto"/>
            </w:tcBorders>
            <w:shd w:val="clear" w:color="auto" w:fill="auto"/>
            <w:noWrap/>
            <w:vAlign w:val="bottom"/>
            <w:hideMark/>
          </w:tcPr>
          <w:p w:rsidR="00912F22" w:rsidRPr="00912F22" w:rsidRDefault="00912F22" w:rsidP="00912F22">
            <w:pPr>
              <w:rPr>
                <w:color w:val="000000"/>
                <w:lang w:val="et-EE" w:eastAsia="et-EE"/>
              </w:rPr>
            </w:pPr>
            <w:r w:rsidRPr="00912F22">
              <w:rPr>
                <w:color w:val="000000"/>
                <w:sz w:val="22"/>
                <w:szCs w:val="22"/>
                <w:lang w:val="et-EE" w:eastAsia="et-EE"/>
              </w:rPr>
              <w:t xml:space="preserve">mai </w:t>
            </w:r>
          </w:p>
        </w:tc>
        <w:tc>
          <w:tcPr>
            <w:tcW w:w="1757" w:type="dxa"/>
            <w:tcBorders>
              <w:top w:val="nil"/>
              <w:left w:val="nil"/>
              <w:bottom w:val="single" w:sz="4" w:space="0" w:color="auto"/>
              <w:right w:val="single" w:sz="4"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291 735</w:t>
            </w:r>
          </w:p>
        </w:tc>
        <w:tc>
          <w:tcPr>
            <w:tcW w:w="2089" w:type="dxa"/>
            <w:tcBorders>
              <w:top w:val="nil"/>
              <w:left w:val="nil"/>
              <w:bottom w:val="single" w:sz="4" w:space="0" w:color="auto"/>
              <w:right w:val="single" w:sz="4"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321 893</w:t>
            </w:r>
          </w:p>
        </w:tc>
        <w:tc>
          <w:tcPr>
            <w:tcW w:w="1724" w:type="dxa"/>
            <w:tcBorders>
              <w:top w:val="nil"/>
              <w:left w:val="nil"/>
              <w:bottom w:val="single" w:sz="4" w:space="0" w:color="auto"/>
              <w:right w:val="single" w:sz="4"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30 158</w:t>
            </w:r>
          </w:p>
        </w:tc>
        <w:tc>
          <w:tcPr>
            <w:tcW w:w="1724" w:type="dxa"/>
            <w:tcBorders>
              <w:top w:val="nil"/>
              <w:left w:val="nil"/>
              <w:bottom w:val="single" w:sz="4" w:space="0" w:color="auto"/>
              <w:right w:val="single" w:sz="8"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110,3</w:t>
            </w:r>
          </w:p>
        </w:tc>
      </w:tr>
      <w:tr w:rsidR="00912F22" w:rsidRPr="00912F22" w:rsidTr="00912F22">
        <w:trPr>
          <w:trHeight w:val="311"/>
        </w:trPr>
        <w:tc>
          <w:tcPr>
            <w:tcW w:w="1824" w:type="dxa"/>
            <w:tcBorders>
              <w:top w:val="nil"/>
              <w:left w:val="single" w:sz="8" w:space="0" w:color="auto"/>
              <w:bottom w:val="nil"/>
              <w:right w:val="single" w:sz="4" w:space="0" w:color="auto"/>
            </w:tcBorders>
            <w:shd w:val="clear" w:color="auto" w:fill="auto"/>
            <w:noWrap/>
            <w:vAlign w:val="bottom"/>
            <w:hideMark/>
          </w:tcPr>
          <w:p w:rsidR="00912F22" w:rsidRPr="00912F22" w:rsidRDefault="00912F22" w:rsidP="00912F22">
            <w:pPr>
              <w:rPr>
                <w:color w:val="000000"/>
                <w:lang w:val="et-EE" w:eastAsia="et-EE"/>
              </w:rPr>
            </w:pPr>
            <w:r w:rsidRPr="00912F22">
              <w:rPr>
                <w:color w:val="000000"/>
                <w:sz w:val="22"/>
                <w:szCs w:val="22"/>
                <w:lang w:val="et-EE" w:eastAsia="et-EE"/>
              </w:rPr>
              <w:t>juuni</w:t>
            </w:r>
          </w:p>
        </w:tc>
        <w:tc>
          <w:tcPr>
            <w:tcW w:w="1757" w:type="dxa"/>
            <w:tcBorders>
              <w:top w:val="nil"/>
              <w:left w:val="nil"/>
              <w:bottom w:val="nil"/>
              <w:right w:val="single" w:sz="4"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306 709</w:t>
            </w:r>
          </w:p>
        </w:tc>
        <w:tc>
          <w:tcPr>
            <w:tcW w:w="2089" w:type="dxa"/>
            <w:tcBorders>
              <w:top w:val="nil"/>
              <w:left w:val="nil"/>
              <w:bottom w:val="nil"/>
              <w:right w:val="single" w:sz="4"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346 832</w:t>
            </w:r>
          </w:p>
        </w:tc>
        <w:tc>
          <w:tcPr>
            <w:tcW w:w="1724" w:type="dxa"/>
            <w:tcBorders>
              <w:top w:val="nil"/>
              <w:left w:val="nil"/>
              <w:bottom w:val="nil"/>
              <w:right w:val="single" w:sz="4"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40 123</w:t>
            </w:r>
          </w:p>
        </w:tc>
        <w:tc>
          <w:tcPr>
            <w:tcW w:w="1724" w:type="dxa"/>
            <w:tcBorders>
              <w:top w:val="nil"/>
              <w:left w:val="nil"/>
              <w:bottom w:val="nil"/>
              <w:right w:val="single" w:sz="8" w:space="0" w:color="auto"/>
            </w:tcBorders>
            <w:shd w:val="clear" w:color="auto" w:fill="auto"/>
            <w:noWrap/>
            <w:vAlign w:val="bottom"/>
            <w:hideMark/>
          </w:tcPr>
          <w:p w:rsidR="00912F22" w:rsidRPr="00912F22" w:rsidRDefault="00912F22" w:rsidP="00912F22">
            <w:pPr>
              <w:jc w:val="right"/>
              <w:rPr>
                <w:color w:val="000000"/>
                <w:lang w:val="et-EE" w:eastAsia="et-EE"/>
              </w:rPr>
            </w:pPr>
            <w:r w:rsidRPr="00912F22">
              <w:rPr>
                <w:color w:val="000000"/>
                <w:sz w:val="22"/>
                <w:szCs w:val="22"/>
                <w:lang w:val="et-EE" w:eastAsia="et-EE"/>
              </w:rPr>
              <w:t>113,1</w:t>
            </w:r>
          </w:p>
        </w:tc>
      </w:tr>
      <w:tr w:rsidR="00912F22" w:rsidRPr="00912F22" w:rsidTr="00912F22">
        <w:trPr>
          <w:trHeight w:val="311"/>
        </w:trPr>
        <w:tc>
          <w:tcPr>
            <w:tcW w:w="182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12F22" w:rsidRPr="00912F22" w:rsidRDefault="00912F22" w:rsidP="00912F22">
            <w:pPr>
              <w:rPr>
                <w:b/>
                <w:bCs/>
                <w:color w:val="000000"/>
                <w:lang w:val="et-EE" w:eastAsia="et-EE"/>
              </w:rPr>
            </w:pPr>
            <w:r w:rsidRPr="00912F22">
              <w:rPr>
                <w:b/>
                <w:bCs/>
                <w:color w:val="000000"/>
                <w:sz w:val="22"/>
                <w:szCs w:val="22"/>
                <w:lang w:val="et-EE" w:eastAsia="et-EE"/>
              </w:rPr>
              <w:t>kokku</w:t>
            </w:r>
          </w:p>
        </w:tc>
        <w:tc>
          <w:tcPr>
            <w:tcW w:w="1757" w:type="dxa"/>
            <w:tcBorders>
              <w:top w:val="single" w:sz="8" w:space="0" w:color="auto"/>
              <w:left w:val="nil"/>
              <w:bottom w:val="single" w:sz="8" w:space="0" w:color="auto"/>
              <w:right w:val="single" w:sz="4" w:space="0" w:color="auto"/>
            </w:tcBorders>
            <w:shd w:val="clear" w:color="auto" w:fill="auto"/>
            <w:noWrap/>
            <w:vAlign w:val="bottom"/>
            <w:hideMark/>
          </w:tcPr>
          <w:p w:rsidR="00912F22" w:rsidRPr="00912F22" w:rsidRDefault="00912F22" w:rsidP="00912F22">
            <w:pPr>
              <w:jc w:val="right"/>
              <w:rPr>
                <w:b/>
                <w:bCs/>
                <w:color w:val="000000"/>
                <w:lang w:val="et-EE" w:eastAsia="et-EE"/>
              </w:rPr>
            </w:pPr>
            <w:r w:rsidRPr="00912F22">
              <w:rPr>
                <w:b/>
                <w:bCs/>
                <w:color w:val="000000"/>
                <w:sz w:val="22"/>
                <w:szCs w:val="22"/>
                <w:lang w:val="et-EE" w:eastAsia="et-EE"/>
              </w:rPr>
              <w:t>1 749 680</w:t>
            </w:r>
          </w:p>
        </w:tc>
        <w:tc>
          <w:tcPr>
            <w:tcW w:w="2089" w:type="dxa"/>
            <w:tcBorders>
              <w:top w:val="single" w:sz="8" w:space="0" w:color="auto"/>
              <w:left w:val="nil"/>
              <w:bottom w:val="single" w:sz="8" w:space="0" w:color="auto"/>
              <w:right w:val="single" w:sz="4" w:space="0" w:color="auto"/>
            </w:tcBorders>
            <w:shd w:val="clear" w:color="auto" w:fill="auto"/>
            <w:noWrap/>
            <w:vAlign w:val="bottom"/>
            <w:hideMark/>
          </w:tcPr>
          <w:p w:rsidR="00912F22" w:rsidRPr="00912F22" w:rsidRDefault="00912F22" w:rsidP="00912F22">
            <w:pPr>
              <w:jc w:val="right"/>
              <w:rPr>
                <w:b/>
                <w:bCs/>
                <w:color w:val="000000"/>
                <w:lang w:val="et-EE" w:eastAsia="et-EE"/>
              </w:rPr>
            </w:pPr>
            <w:r w:rsidRPr="00912F22">
              <w:rPr>
                <w:b/>
                <w:bCs/>
                <w:color w:val="000000"/>
                <w:sz w:val="22"/>
                <w:szCs w:val="22"/>
                <w:lang w:val="et-EE" w:eastAsia="et-EE"/>
              </w:rPr>
              <w:t>1 972 563</w:t>
            </w:r>
          </w:p>
        </w:tc>
        <w:tc>
          <w:tcPr>
            <w:tcW w:w="1724" w:type="dxa"/>
            <w:tcBorders>
              <w:top w:val="single" w:sz="8" w:space="0" w:color="auto"/>
              <w:left w:val="nil"/>
              <w:bottom w:val="single" w:sz="8" w:space="0" w:color="auto"/>
              <w:right w:val="single" w:sz="4" w:space="0" w:color="auto"/>
            </w:tcBorders>
            <w:shd w:val="clear" w:color="auto" w:fill="auto"/>
            <w:noWrap/>
            <w:vAlign w:val="bottom"/>
            <w:hideMark/>
          </w:tcPr>
          <w:p w:rsidR="00912F22" w:rsidRPr="00912F22" w:rsidRDefault="00912F22" w:rsidP="00912F22">
            <w:pPr>
              <w:jc w:val="right"/>
              <w:rPr>
                <w:b/>
                <w:bCs/>
                <w:color w:val="000000"/>
                <w:lang w:val="et-EE" w:eastAsia="et-EE"/>
              </w:rPr>
            </w:pPr>
            <w:r w:rsidRPr="00912F22">
              <w:rPr>
                <w:b/>
                <w:bCs/>
                <w:color w:val="000000"/>
                <w:sz w:val="22"/>
                <w:szCs w:val="22"/>
                <w:lang w:val="et-EE" w:eastAsia="et-EE"/>
              </w:rPr>
              <w:t>182 760</w:t>
            </w:r>
          </w:p>
        </w:tc>
        <w:tc>
          <w:tcPr>
            <w:tcW w:w="1724" w:type="dxa"/>
            <w:tcBorders>
              <w:top w:val="single" w:sz="8" w:space="0" w:color="auto"/>
              <w:left w:val="nil"/>
              <w:bottom w:val="single" w:sz="8" w:space="0" w:color="auto"/>
              <w:right w:val="single" w:sz="8" w:space="0" w:color="auto"/>
            </w:tcBorders>
            <w:shd w:val="clear" w:color="auto" w:fill="auto"/>
            <w:noWrap/>
            <w:vAlign w:val="bottom"/>
            <w:hideMark/>
          </w:tcPr>
          <w:p w:rsidR="00912F22" w:rsidRPr="00912F22" w:rsidRDefault="00912F22" w:rsidP="00912F22">
            <w:pPr>
              <w:jc w:val="right"/>
              <w:rPr>
                <w:b/>
                <w:bCs/>
                <w:color w:val="000000"/>
                <w:lang w:val="et-EE" w:eastAsia="et-EE"/>
              </w:rPr>
            </w:pPr>
            <w:r w:rsidRPr="00912F22">
              <w:rPr>
                <w:b/>
                <w:bCs/>
                <w:color w:val="000000"/>
                <w:sz w:val="22"/>
                <w:szCs w:val="22"/>
                <w:lang w:val="et-EE" w:eastAsia="et-EE"/>
              </w:rPr>
              <w:t>112,7</w:t>
            </w:r>
          </w:p>
        </w:tc>
      </w:tr>
    </w:tbl>
    <w:p w:rsidR="00912F22" w:rsidRDefault="00912F22" w:rsidP="00924C20">
      <w:pPr>
        <w:jc w:val="both"/>
        <w:rPr>
          <w:b/>
          <w:sz w:val="20"/>
          <w:szCs w:val="20"/>
          <w:lang w:val="et-EE"/>
        </w:rPr>
      </w:pPr>
    </w:p>
    <w:p w:rsidR="00924C20" w:rsidRPr="007643EC" w:rsidRDefault="00C96C1B" w:rsidP="00924C20">
      <w:pPr>
        <w:jc w:val="both"/>
        <w:rPr>
          <w:b/>
          <w:sz w:val="20"/>
          <w:szCs w:val="20"/>
          <w:lang w:val="et-EE"/>
        </w:rPr>
      </w:pPr>
      <w:r w:rsidRPr="007643EC">
        <w:rPr>
          <w:b/>
          <w:sz w:val="20"/>
          <w:szCs w:val="20"/>
          <w:lang w:val="et-EE"/>
        </w:rPr>
        <w:t>Tabel 5. 2017/2018 aasta FIT laekumise võrdlus (jaanuar-mai).</w:t>
      </w:r>
    </w:p>
    <w:p w:rsidR="00C96C1B" w:rsidRPr="007643EC" w:rsidRDefault="00C96C1B" w:rsidP="00924C20">
      <w:pPr>
        <w:jc w:val="both"/>
        <w:rPr>
          <w:lang w:val="et-EE"/>
        </w:rPr>
      </w:pPr>
    </w:p>
    <w:p w:rsidR="00924C20" w:rsidRPr="007643EC" w:rsidRDefault="00924C20" w:rsidP="00FA1A35">
      <w:pPr>
        <w:spacing w:line="276" w:lineRule="auto"/>
        <w:jc w:val="both"/>
        <w:rPr>
          <w:lang w:val="et-EE"/>
        </w:rPr>
      </w:pPr>
      <w:r w:rsidRPr="007643EC">
        <w:rPr>
          <w:lang w:val="et-EE"/>
        </w:rPr>
        <w:t xml:space="preserve">Kahe viimase aasta </w:t>
      </w:r>
      <w:r w:rsidR="00912F22">
        <w:rPr>
          <w:lang w:val="et-EE"/>
        </w:rPr>
        <w:t>jaanuar-juuni</w:t>
      </w:r>
      <w:r w:rsidR="00897629" w:rsidRPr="007643EC">
        <w:rPr>
          <w:lang w:val="et-EE"/>
        </w:rPr>
        <w:t xml:space="preserve"> </w:t>
      </w:r>
      <w:r w:rsidRPr="007643EC">
        <w:rPr>
          <w:lang w:val="et-EE"/>
        </w:rPr>
        <w:t>võrdluses on näha, et tegelik laekumine ületab prognoosi üsna palju ja on täheldatav ka stabiil</w:t>
      </w:r>
      <w:r w:rsidR="00F80763" w:rsidRPr="007643EC">
        <w:rPr>
          <w:lang w:val="et-EE"/>
        </w:rPr>
        <w:t>ne kasv</w:t>
      </w:r>
      <w:r w:rsidRPr="007643EC">
        <w:rPr>
          <w:lang w:val="et-EE"/>
        </w:rPr>
        <w:t xml:space="preserve"> (iga kuu</w:t>
      </w:r>
      <w:r w:rsidR="00912F22">
        <w:rPr>
          <w:lang w:val="et-EE"/>
        </w:rPr>
        <w:t xml:space="preserve"> vähemalt</w:t>
      </w:r>
      <w:r w:rsidRPr="007643EC">
        <w:rPr>
          <w:lang w:val="et-EE"/>
        </w:rPr>
        <w:t xml:space="preserve"> +10%) laekumises.</w:t>
      </w:r>
    </w:p>
    <w:p w:rsidR="00897629" w:rsidRPr="007643EC" w:rsidRDefault="00897629" w:rsidP="00FA1A35">
      <w:pPr>
        <w:spacing w:line="276" w:lineRule="auto"/>
        <w:jc w:val="both"/>
        <w:rPr>
          <w:lang w:val="et-EE"/>
        </w:rPr>
      </w:pPr>
    </w:p>
    <w:p w:rsidR="00924C20" w:rsidRPr="007643EC" w:rsidRDefault="00924C20" w:rsidP="00FA1A35">
      <w:pPr>
        <w:spacing w:line="276" w:lineRule="auto"/>
        <w:jc w:val="both"/>
        <w:rPr>
          <w:lang w:val="et-EE"/>
        </w:rPr>
      </w:pPr>
      <w:r w:rsidRPr="007643EC">
        <w:rPr>
          <w:lang w:val="et-EE"/>
        </w:rPr>
        <w:t xml:space="preserve">Maamaksu laekumises on kavandatud väike kasv ja </w:t>
      </w:r>
      <w:r w:rsidR="00897629" w:rsidRPr="007643EC">
        <w:rPr>
          <w:lang w:val="et-EE"/>
        </w:rPr>
        <w:t>selle</w:t>
      </w:r>
      <w:r w:rsidRPr="007643EC">
        <w:rPr>
          <w:lang w:val="et-EE"/>
        </w:rPr>
        <w:t xml:space="preserve"> eelduseks on maamaksustamise koefitsientide tõstmine seadusega l</w:t>
      </w:r>
      <w:r w:rsidR="00DB199A" w:rsidRPr="007643EC">
        <w:rPr>
          <w:lang w:val="et-EE"/>
        </w:rPr>
        <w:t>ubatud piirini. Kui</w:t>
      </w:r>
      <w:r w:rsidRPr="007643EC">
        <w:rPr>
          <w:lang w:val="et-EE"/>
        </w:rPr>
        <w:t xml:space="preserve"> muutuvad</w:t>
      </w:r>
      <w:r w:rsidR="00DB199A" w:rsidRPr="007643EC">
        <w:rPr>
          <w:lang w:val="et-EE"/>
        </w:rPr>
        <w:t xml:space="preserve"> seaduses</w:t>
      </w:r>
      <w:r w:rsidRPr="007643EC">
        <w:rPr>
          <w:lang w:val="et-EE"/>
        </w:rPr>
        <w:t xml:space="preserve"> maksustamise alused, siis tuleb laekumise prognoosid ümber vaadata.</w:t>
      </w:r>
      <w:r w:rsidR="00103DD9">
        <w:rPr>
          <w:lang w:val="et-EE"/>
        </w:rPr>
        <w:t xml:space="preserve"> </w:t>
      </w:r>
    </w:p>
    <w:p w:rsidR="00897629" w:rsidRPr="007643EC" w:rsidRDefault="00897629" w:rsidP="00FA1A35">
      <w:pPr>
        <w:spacing w:line="276" w:lineRule="auto"/>
        <w:jc w:val="both"/>
        <w:rPr>
          <w:lang w:val="et-EE"/>
        </w:rPr>
      </w:pPr>
    </w:p>
    <w:p w:rsidR="00924C20" w:rsidRPr="007643EC" w:rsidRDefault="00924C20" w:rsidP="00FA1A35">
      <w:pPr>
        <w:spacing w:line="276" w:lineRule="auto"/>
        <w:jc w:val="both"/>
        <w:rPr>
          <w:lang w:val="et-EE"/>
        </w:rPr>
      </w:pPr>
      <w:r w:rsidRPr="007643EC">
        <w:rPr>
          <w:lang w:val="et-EE"/>
        </w:rPr>
        <w:t xml:space="preserve">Kaupade, teenuste laekumise kasv on kavandatud vastavalt </w:t>
      </w:r>
      <w:r w:rsidR="00897629" w:rsidRPr="007643EC">
        <w:rPr>
          <w:lang w:val="et-EE"/>
        </w:rPr>
        <w:t>kohaliku omavalitsuse</w:t>
      </w:r>
      <w:r w:rsidRPr="007643EC">
        <w:rPr>
          <w:lang w:val="et-EE"/>
        </w:rPr>
        <w:t xml:space="preserve"> enda maksumäärade, üüride</w:t>
      </w:r>
      <w:r w:rsidR="00897629" w:rsidRPr="007643EC">
        <w:rPr>
          <w:lang w:val="et-EE"/>
        </w:rPr>
        <w:t xml:space="preserve"> ja</w:t>
      </w:r>
      <w:r w:rsidRPr="007643EC">
        <w:rPr>
          <w:lang w:val="et-EE"/>
        </w:rPr>
        <w:t xml:space="preserve"> rentide muudatustest.</w:t>
      </w:r>
    </w:p>
    <w:p w:rsidR="00897629" w:rsidRPr="007643EC" w:rsidRDefault="00897629" w:rsidP="00FA1A35">
      <w:pPr>
        <w:spacing w:line="276" w:lineRule="auto"/>
        <w:jc w:val="both"/>
        <w:rPr>
          <w:lang w:val="et-EE"/>
        </w:rPr>
      </w:pPr>
    </w:p>
    <w:p w:rsidR="00924C20" w:rsidRPr="007643EC" w:rsidRDefault="00924C20" w:rsidP="00FA1A35">
      <w:pPr>
        <w:spacing w:line="276" w:lineRule="auto"/>
        <w:jc w:val="both"/>
        <w:rPr>
          <w:lang w:val="et-EE"/>
        </w:rPr>
      </w:pPr>
      <w:r w:rsidRPr="007643EC">
        <w:rPr>
          <w:lang w:val="et-EE"/>
        </w:rPr>
        <w:t>Riigi eelarvest laekuvate tasandusfondi ja toetusfondi osas on kavandatud laekumised konservatiivselt, 2018</w:t>
      </w:r>
      <w:r w:rsidR="002D24F6" w:rsidRPr="007643EC">
        <w:rPr>
          <w:lang w:val="et-EE"/>
        </w:rPr>
        <w:t>. a</w:t>
      </w:r>
      <w:r w:rsidR="00897629" w:rsidRPr="007643EC">
        <w:rPr>
          <w:lang w:val="et-EE"/>
        </w:rPr>
        <w:t xml:space="preserve">asta </w:t>
      </w:r>
      <w:r w:rsidR="002D24F6" w:rsidRPr="007643EC">
        <w:rPr>
          <w:lang w:val="et-EE"/>
        </w:rPr>
        <w:t>tasemel. Seadus</w:t>
      </w:r>
      <w:r w:rsidRPr="007643EC">
        <w:rPr>
          <w:lang w:val="et-EE"/>
        </w:rPr>
        <w:t xml:space="preserve">e muutustest, mis korrigeerivad </w:t>
      </w:r>
      <w:r w:rsidR="00F80763" w:rsidRPr="007643EC">
        <w:rPr>
          <w:lang w:val="et-EE"/>
        </w:rPr>
        <w:t>kohalike omavalitsuste</w:t>
      </w:r>
      <w:r w:rsidRPr="007643EC">
        <w:rPr>
          <w:lang w:val="et-EE"/>
        </w:rPr>
        <w:t xml:space="preserve"> tulubaasi aluseid, võivad summad eelarvestrateegia perioodil muutuda. Muude toetuste all on kavandatud ühinemistoetus kuni </w:t>
      </w:r>
      <w:r w:rsidR="00F80763" w:rsidRPr="007643EC">
        <w:rPr>
          <w:lang w:val="et-EE"/>
        </w:rPr>
        <w:t xml:space="preserve">aastani </w:t>
      </w:r>
      <w:r w:rsidRPr="007643EC">
        <w:rPr>
          <w:lang w:val="et-EE"/>
        </w:rPr>
        <w:t xml:space="preserve">2019. Teised laekumised on prognoositud arvestades senist laekumise dünaamikat. </w:t>
      </w:r>
    </w:p>
    <w:p w:rsidR="004C6042" w:rsidRDefault="004C6042" w:rsidP="00FA1A35">
      <w:pPr>
        <w:spacing w:line="276" w:lineRule="auto"/>
        <w:jc w:val="both"/>
        <w:rPr>
          <w:lang w:val="et-EE"/>
        </w:rPr>
      </w:pPr>
    </w:p>
    <w:p w:rsidR="00897629" w:rsidRPr="007643EC" w:rsidRDefault="00924C20" w:rsidP="00FA1A35">
      <w:pPr>
        <w:spacing w:line="276" w:lineRule="auto"/>
        <w:jc w:val="both"/>
        <w:rPr>
          <w:lang w:val="et-EE"/>
        </w:rPr>
      </w:pPr>
      <w:r w:rsidRPr="007643EC">
        <w:rPr>
          <w:lang w:val="et-EE"/>
        </w:rPr>
        <w:t>Põhitegevuse tulude kasv on aastate lõikes ca +2%. Kasv pidurdub korraks 2020</w:t>
      </w:r>
      <w:r w:rsidR="006C666F" w:rsidRPr="007643EC">
        <w:rPr>
          <w:lang w:val="et-EE"/>
        </w:rPr>
        <w:t>.</w:t>
      </w:r>
      <w:r w:rsidRPr="007643EC">
        <w:rPr>
          <w:lang w:val="et-EE"/>
        </w:rPr>
        <w:t xml:space="preserve"> aastal, kui ühinemistoetuse eraldamine lõpeb.</w:t>
      </w:r>
      <w:r w:rsidR="006C666F" w:rsidRPr="007643EC">
        <w:rPr>
          <w:lang w:val="et-EE"/>
        </w:rPr>
        <w:t xml:space="preserve"> </w:t>
      </w:r>
      <w:r w:rsidRPr="007643EC">
        <w:rPr>
          <w:lang w:val="et-EE"/>
        </w:rPr>
        <w:t>Põhitegevuse tulude laekumist mõjutavad tegurid</w:t>
      </w:r>
      <w:r w:rsidR="006C666F" w:rsidRPr="007643EC">
        <w:rPr>
          <w:lang w:val="et-EE"/>
        </w:rPr>
        <w:t xml:space="preserve"> on järgmised</w:t>
      </w:r>
      <w:r w:rsidRPr="007643EC">
        <w:rPr>
          <w:lang w:val="et-EE"/>
        </w:rPr>
        <w:t>:</w:t>
      </w:r>
    </w:p>
    <w:p w:rsidR="00924C20" w:rsidRPr="007643EC" w:rsidRDefault="00924C20" w:rsidP="00FA1A35">
      <w:pPr>
        <w:pStyle w:val="Loendilik"/>
        <w:numPr>
          <w:ilvl w:val="0"/>
          <w:numId w:val="3"/>
        </w:numPr>
        <w:jc w:val="both"/>
        <w:rPr>
          <w:szCs w:val="24"/>
        </w:rPr>
      </w:pPr>
      <w:r w:rsidRPr="007643EC">
        <w:rPr>
          <w:szCs w:val="24"/>
        </w:rPr>
        <w:t xml:space="preserve">Üleüldine majanduse </w:t>
      </w:r>
      <w:r w:rsidR="00897629" w:rsidRPr="007643EC">
        <w:rPr>
          <w:szCs w:val="24"/>
        </w:rPr>
        <w:t>areng</w:t>
      </w:r>
      <w:r w:rsidRPr="007643EC">
        <w:rPr>
          <w:szCs w:val="24"/>
        </w:rPr>
        <w:t xml:space="preserve"> riigis, maakonnas</w:t>
      </w:r>
      <w:r w:rsidR="00897629" w:rsidRPr="007643EC">
        <w:rPr>
          <w:szCs w:val="24"/>
        </w:rPr>
        <w:t xml:space="preserve"> ja</w:t>
      </w:r>
      <w:r w:rsidRPr="007643EC">
        <w:rPr>
          <w:szCs w:val="24"/>
        </w:rPr>
        <w:t xml:space="preserve"> </w:t>
      </w:r>
      <w:r w:rsidR="00897629" w:rsidRPr="007643EC">
        <w:rPr>
          <w:szCs w:val="24"/>
        </w:rPr>
        <w:t>vallas</w:t>
      </w:r>
      <w:r w:rsidRPr="007643EC">
        <w:rPr>
          <w:szCs w:val="24"/>
        </w:rPr>
        <w:t>. Arvestades Eesti riigi majanduse avatust, on kõige suurem mõjutaja kogu maailma majandus ja tema käekäik;</w:t>
      </w:r>
    </w:p>
    <w:p w:rsidR="00924C20" w:rsidRPr="007643EC" w:rsidRDefault="00361046" w:rsidP="00FA1A35">
      <w:pPr>
        <w:pStyle w:val="Loendilik"/>
        <w:numPr>
          <w:ilvl w:val="0"/>
          <w:numId w:val="3"/>
        </w:numPr>
        <w:jc w:val="both"/>
        <w:rPr>
          <w:szCs w:val="24"/>
        </w:rPr>
      </w:pPr>
      <w:r w:rsidRPr="007643EC">
        <w:rPr>
          <w:szCs w:val="24"/>
        </w:rPr>
        <w:t>KOV tulubaasi mõjutavad r</w:t>
      </w:r>
      <w:r w:rsidR="00924C20" w:rsidRPr="007643EC">
        <w:rPr>
          <w:szCs w:val="24"/>
        </w:rPr>
        <w:t>iigi keskvalitsuse otsused – isikutulumaksu, maamaksu, riigi eelarve toetused, jt otseselt või kaudselt mõjuvaid</w:t>
      </w:r>
      <w:r w:rsidR="00FA2C32" w:rsidRPr="007643EC">
        <w:rPr>
          <w:szCs w:val="24"/>
        </w:rPr>
        <w:t xml:space="preserve"> otsused</w:t>
      </w:r>
      <w:r w:rsidR="00924C20" w:rsidRPr="007643EC">
        <w:rPr>
          <w:szCs w:val="24"/>
        </w:rPr>
        <w:t>;</w:t>
      </w:r>
    </w:p>
    <w:p w:rsidR="00924C20" w:rsidRPr="007643EC" w:rsidRDefault="00924C20" w:rsidP="00FA1A35">
      <w:pPr>
        <w:pStyle w:val="Loendilik"/>
        <w:numPr>
          <w:ilvl w:val="0"/>
          <w:numId w:val="3"/>
        </w:numPr>
        <w:jc w:val="both"/>
        <w:rPr>
          <w:szCs w:val="24"/>
        </w:rPr>
      </w:pPr>
      <w:r w:rsidRPr="007643EC">
        <w:rPr>
          <w:szCs w:val="24"/>
        </w:rPr>
        <w:t>E</w:t>
      </w:r>
      <w:r w:rsidR="00FA2C32" w:rsidRPr="007643EC">
        <w:rPr>
          <w:szCs w:val="24"/>
        </w:rPr>
        <w:t>uroopa Liidu</w:t>
      </w:r>
      <w:r w:rsidRPr="007643EC">
        <w:rPr>
          <w:szCs w:val="24"/>
        </w:rPr>
        <w:t xml:space="preserve"> projektitoetuste mahud järgmistel toetusperioodidel;</w:t>
      </w:r>
    </w:p>
    <w:p w:rsidR="00924C20" w:rsidRPr="007643EC" w:rsidRDefault="00924C20" w:rsidP="00FA1A35">
      <w:pPr>
        <w:pStyle w:val="Loendilik"/>
        <w:numPr>
          <w:ilvl w:val="0"/>
          <w:numId w:val="3"/>
        </w:numPr>
        <w:jc w:val="both"/>
        <w:rPr>
          <w:szCs w:val="24"/>
        </w:rPr>
      </w:pPr>
      <w:r w:rsidRPr="007643EC">
        <w:rPr>
          <w:szCs w:val="24"/>
        </w:rPr>
        <w:t xml:space="preserve">Kohalikud otsused </w:t>
      </w:r>
      <w:r w:rsidR="00FA2C32" w:rsidRPr="007643EC">
        <w:rPr>
          <w:szCs w:val="24"/>
        </w:rPr>
        <w:t>Viru-Nigula valla</w:t>
      </w:r>
      <w:r w:rsidR="00361046" w:rsidRPr="007643EC">
        <w:rPr>
          <w:szCs w:val="24"/>
        </w:rPr>
        <w:t xml:space="preserve"> osutatavate teenuste ja</w:t>
      </w:r>
      <w:r w:rsidRPr="007643EC">
        <w:rPr>
          <w:szCs w:val="24"/>
        </w:rPr>
        <w:t xml:space="preserve"> müüdavate kaupade maksumuste kohta;</w:t>
      </w:r>
    </w:p>
    <w:p w:rsidR="00924C20" w:rsidRPr="007643EC" w:rsidRDefault="00FA2C32" w:rsidP="00FA1A35">
      <w:pPr>
        <w:pStyle w:val="Loendilik"/>
        <w:numPr>
          <w:ilvl w:val="0"/>
          <w:numId w:val="3"/>
        </w:numPr>
        <w:jc w:val="both"/>
        <w:rPr>
          <w:szCs w:val="24"/>
        </w:rPr>
      </w:pPr>
      <w:r w:rsidRPr="007643EC">
        <w:rPr>
          <w:szCs w:val="24"/>
        </w:rPr>
        <w:t>Eesti</w:t>
      </w:r>
      <w:r w:rsidR="00924C20" w:rsidRPr="007643EC">
        <w:rPr>
          <w:szCs w:val="24"/>
        </w:rPr>
        <w:t xml:space="preserve"> linnastumise jätkumine Tallinna, </w:t>
      </w:r>
      <w:r w:rsidRPr="007643EC">
        <w:rPr>
          <w:szCs w:val="24"/>
        </w:rPr>
        <w:t>aga ka maakonn</w:t>
      </w:r>
      <w:r w:rsidR="00361046" w:rsidRPr="007643EC">
        <w:rPr>
          <w:szCs w:val="24"/>
        </w:rPr>
        <w:t>a</w:t>
      </w:r>
      <w:r w:rsidRPr="007643EC">
        <w:rPr>
          <w:szCs w:val="24"/>
        </w:rPr>
        <w:t xml:space="preserve">keskuse </w:t>
      </w:r>
      <w:r w:rsidR="00924C20" w:rsidRPr="007643EC">
        <w:rPr>
          <w:szCs w:val="24"/>
        </w:rPr>
        <w:t>Rakvere suunas</w:t>
      </w:r>
      <w:r w:rsidR="006C666F" w:rsidRPr="007643EC">
        <w:rPr>
          <w:szCs w:val="24"/>
        </w:rPr>
        <w:t>.</w:t>
      </w:r>
    </w:p>
    <w:p w:rsidR="00924C20" w:rsidRPr="007643EC" w:rsidRDefault="00924C20" w:rsidP="00FA1A35">
      <w:pPr>
        <w:spacing w:line="276" w:lineRule="auto"/>
        <w:jc w:val="both"/>
        <w:rPr>
          <w:lang w:val="et-EE"/>
        </w:rPr>
      </w:pPr>
      <w:r w:rsidRPr="007643EC">
        <w:rPr>
          <w:lang w:val="et-EE"/>
        </w:rPr>
        <w:t>Põhitegevuse tulude struktuur</w:t>
      </w:r>
      <w:r w:rsidR="00FA2C32" w:rsidRPr="007643EC">
        <w:rPr>
          <w:lang w:val="et-EE"/>
        </w:rPr>
        <w:t>i</w:t>
      </w:r>
      <w:r w:rsidRPr="007643EC">
        <w:rPr>
          <w:lang w:val="et-EE"/>
        </w:rPr>
        <w:t xml:space="preserve"> </w:t>
      </w:r>
      <w:r w:rsidR="009143F4">
        <w:rPr>
          <w:lang w:val="et-EE"/>
        </w:rPr>
        <w:t xml:space="preserve">prognoosi </w:t>
      </w:r>
      <w:r w:rsidRPr="007643EC">
        <w:rPr>
          <w:lang w:val="et-EE"/>
        </w:rPr>
        <w:t>2019</w:t>
      </w:r>
      <w:r w:rsidR="00FA2C32" w:rsidRPr="007643EC">
        <w:rPr>
          <w:lang w:val="et-EE"/>
        </w:rPr>
        <w:t>.</w:t>
      </w:r>
      <w:r w:rsidRPr="007643EC">
        <w:rPr>
          <w:lang w:val="et-EE"/>
        </w:rPr>
        <w:t xml:space="preserve"> </w:t>
      </w:r>
      <w:r w:rsidR="006C666F" w:rsidRPr="007643EC">
        <w:rPr>
          <w:lang w:val="et-EE"/>
        </w:rPr>
        <w:t>a</w:t>
      </w:r>
      <w:r w:rsidRPr="007643EC">
        <w:rPr>
          <w:lang w:val="et-EE"/>
        </w:rPr>
        <w:t>astal</w:t>
      </w:r>
      <w:r w:rsidR="006C666F" w:rsidRPr="007643EC">
        <w:rPr>
          <w:lang w:val="et-EE"/>
        </w:rPr>
        <w:t xml:space="preserve"> iseloomustab joonis </w:t>
      </w:r>
      <w:r w:rsidR="00FA2C32" w:rsidRPr="007643EC">
        <w:rPr>
          <w:lang w:val="et-EE"/>
        </w:rPr>
        <w:t>3</w:t>
      </w:r>
      <w:r w:rsidR="006C666F" w:rsidRPr="007643EC">
        <w:rPr>
          <w:lang w:val="et-EE"/>
        </w:rPr>
        <w:t>.</w:t>
      </w:r>
    </w:p>
    <w:p w:rsidR="00924C20" w:rsidRDefault="00924C20" w:rsidP="00924C20">
      <w:pPr>
        <w:jc w:val="both"/>
        <w:rPr>
          <w:rFonts w:ascii="Trebuchet MS" w:hAnsi="Trebuchet MS"/>
          <w:lang w:val="et-EE"/>
        </w:rPr>
      </w:pPr>
    </w:p>
    <w:p w:rsidR="00924C20" w:rsidRPr="006B14A4" w:rsidRDefault="00955C1D" w:rsidP="00924C20">
      <w:pPr>
        <w:jc w:val="center"/>
        <w:rPr>
          <w:sz w:val="28"/>
          <w:szCs w:val="28"/>
          <w:lang w:val="et-EE"/>
        </w:rPr>
      </w:pPr>
      <w:r>
        <w:rPr>
          <w:noProof/>
          <w:lang w:val="et-EE" w:eastAsia="et-EE"/>
        </w:rPr>
        <w:lastRenderedPageBreak/>
        <w:drawing>
          <wp:inline distT="0" distB="0" distL="0" distR="0">
            <wp:extent cx="4800600" cy="2836545"/>
            <wp:effectExtent l="19050" t="0" r="19050" b="1905"/>
            <wp:docPr id="4" name="Diagram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24C20" w:rsidRDefault="00924C20" w:rsidP="00924C20">
      <w:pPr>
        <w:rPr>
          <w:rFonts w:ascii="Trebuchet MS" w:hAnsi="Trebuchet MS"/>
          <w:lang w:val="et-EE"/>
        </w:rPr>
      </w:pPr>
    </w:p>
    <w:p w:rsidR="00FA2C32" w:rsidRPr="007643EC" w:rsidRDefault="00FA2C32" w:rsidP="00FA2C32">
      <w:pPr>
        <w:jc w:val="both"/>
        <w:rPr>
          <w:b/>
          <w:sz w:val="20"/>
          <w:szCs w:val="20"/>
          <w:lang w:val="et-EE"/>
        </w:rPr>
      </w:pPr>
      <w:r w:rsidRPr="007643EC">
        <w:rPr>
          <w:b/>
          <w:sz w:val="20"/>
          <w:szCs w:val="20"/>
          <w:lang w:val="et-EE"/>
        </w:rPr>
        <w:t>Joonis 3. Põhitegevuse tulude struktuur</w:t>
      </w:r>
      <w:r w:rsidR="004C6042">
        <w:rPr>
          <w:b/>
          <w:sz w:val="20"/>
          <w:szCs w:val="20"/>
          <w:lang w:val="et-EE"/>
        </w:rPr>
        <w:t>i prognoos</w:t>
      </w:r>
      <w:r w:rsidRPr="007643EC">
        <w:rPr>
          <w:b/>
          <w:sz w:val="20"/>
          <w:szCs w:val="20"/>
          <w:lang w:val="et-EE"/>
        </w:rPr>
        <w:t xml:space="preserve"> 2019. aastal</w:t>
      </w:r>
      <w:r w:rsidR="00FB188F" w:rsidRPr="007643EC">
        <w:rPr>
          <w:b/>
          <w:sz w:val="20"/>
          <w:szCs w:val="20"/>
          <w:lang w:val="et-EE"/>
        </w:rPr>
        <w:t>.</w:t>
      </w:r>
    </w:p>
    <w:p w:rsidR="00955C1D" w:rsidRDefault="00955C1D" w:rsidP="006C666F">
      <w:pPr>
        <w:jc w:val="both"/>
        <w:rPr>
          <w:rFonts w:ascii="Trebuchet MS" w:hAnsi="Trebuchet MS"/>
          <w:lang w:val="et-EE"/>
        </w:rPr>
      </w:pPr>
    </w:p>
    <w:p w:rsidR="00924C20" w:rsidRPr="007643EC" w:rsidRDefault="00924C20" w:rsidP="007643EC">
      <w:pPr>
        <w:spacing w:line="276" w:lineRule="auto"/>
        <w:jc w:val="both"/>
        <w:rPr>
          <w:lang w:val="et-EE"/>
        </w:rPr>
      </w:pPr>
      <w:r w:rsidRPr="007643EC">
        <w:rPr>
          <w:lang w:val="et-EE"/>
        </w:rPr>
        <w:t xml:space="preserve">Põhitegevuse tuludes oli, on ja jääb </w:t>
      </w:r>
      <w:r w:rsidR="00FE1F15">
        <w:rPr>
          <w:lang w:val="et-EE"/>
        </w:rPr>
        <w:t>suurema osakaaluga FIT – ca 48</w:t>
      </w:r>
      <w:r w:rsidRPr="007643EC">
        <w:rPr>
          <w:lang w:val="et-EE"/>
        </w:rPr>
        <w:t>%. Järgmine suurem tulu liik on ja ka jääb – saadud toetused tegevuskuludeks – ca 40%. Väga väik</w:t>
      </w:r>
      <w:r w:rsidR="00FA2C32" w:rsidRPr="007643EC">
        <w:rPr>
          <w:lang w:val="et-EE"/>
        </w:rPr>
        <w:t>e</w:t>
      </w:r>
      <w:r w:rsidRPr="007643EC">
        <w:rPr>
          <w:lang w:val="et-EE"/>
        </w:rPr>
        <w:t xml:space="preserve">se osakaaluga on maamaks – 2%. Kaupade ja teenuste müük </w:t>
      </w:r>
      <w:r w:rsidR="00FA2C32" w:rsidRPr="007643EC">
        <w:rPr>
          <w:lang w:val="et-EE"/>
        </w:rPr>
        <w:t>ning</w:t>
      </w:r>
      <w:r w:rsidRPr="007643EC">
        <w:rPr>
          <w:lang w:val="et-EE"/>
        </w:rPr>
        <w:t xml:space="preserve"> muud tegevustulud annavad kokku üle 10% põhitegevuse tuludest. Põhitegevuse tulude struktuur </w:t>
      </w:r>
      <w:r w:rsidR="006C666F" w:rsidRPr="007643EC">
        <w:rPr>
          <w:lang w:val="et-EE"/>
        </w:rPr>
        <w:t xml:space="preserve">prognoosiperioodil </w:t>
      </w:r>
      <w:r w:rsidRPr="007643EC">
        <w:rPr>
          <w:lang w:val="et-EE"/>
        </w:rPr>
        <w:t xml:space="preserve">jääb enam-vähem samadesse proportsioonidesse. </w:t>
      </w:r>
    </w:p>
    <w:p w:rsidR="006C666F" w:rsidRPr="007643EC" w:rsidRDefault="006C666F" w:rsidP="007643EC">
      <w:pPr>
        <w:spacing w:line="276" w:lineRule="auto"/>
        <w:jc w:val="both"/>
        <w:rPr>
          <w:b/>
          <w:lang w:val="et-EE"/>
        </w:rPr>
      </w:pPr>
    </w:p>
    <w:p w:rsidR="006C666F" w:rsidRPr="007643EC" w:rsidRDefault="006C666F" w:rsidP="007643EC">
      <w:pPr>
        <w:spacing w:line="276" w:lineRule="auto"/>
        <w:jc w:val="both"/>
        <w:rPr>
          <w:lang w:val="et-EE"/>
        </w:rPr>
      </w:pPr>
      <w:r w:rsidRPr="007643EC">
        <w:rPr>
          <w:lang w:val="et-EE"/>
        </w:rPr>
        <w:t>P</w:t>
      </w:r>
      <w:r w:rsidR="00924C20" w:rsidRPr="007643EC">
        <w:rPr>
          <w:lang w:val="et-EE"/>
        </w:rPr>
        <w:t>õhitegevuse tulude planeerimisel</w:t>
      </w:r>
      <w:r w:rsidRPr="007643EC">
        <w:rPr>
          <w:lang w:val="et-EE"/>
        </w:rPr>
        <w:t xml:space="preserve"> </w:t>
      </w:r>
      <w:r w:rsidR="00FA2C32" w:rsidRPr="007643EC">
        <w:rPr>
          <w:lang w:val="et-EE"/>
        </w:rPr>
        <w:t xml:space="preserve">eelarvestrateegias </w:t>
      </w:r>
      <w:r w:rsidRPr="007643EC">
        <w:rPr>
          <w:lang w:val="et-EE"/>
        </w:rPr>
        <w:t>seatakse järgmised eesmärgid</w:t>
      </w:r>
      <w:r w:rsidR="00110EEA">
        <w:rPr>
          <w:lang w:val="et-EE"/>
        </w:rPr>
        <w:t xml:space="preserve">: </w:t>
      </w:r>
    </w:p>
    <w:p w:rsidR="00924C20" w:rsidRPr="007643EC" w:rsidRDefault="00FA2C32" w:rsidP="007643EC">
      <w:pPr>
        <w:pStyle w:val="Loendilik"/>
        <w:numPr>
          <w:ilvl w:val="0"/>
          <w:numId w:val="3"/>
        </w:numPr>
        <w:jc w:val="both"/>
        <w:rPr>
          <w:szCs w:val="24"/>
        </w:rPr>
      </w:pPr>
      <w:r w:rsidRPr="007643EC">
        <w:rPr>
          <w:szCs w:val="24"/>
        </w:rPr>
        <w:t>P</w:t>
      </w:r>
      <w:r w:rsidR="006C666F" w:rsidRPr="007643EC">
        <w:rPr>
          <w:szCs w:val="24"/>
        </w:rPr>
        <w:t xml:space="preserve">õhitegevuse tulude </w:t>
      </w:r>
      <w:r w:rsidR="00FB188F" w:rsidRPr="007643EC">
        <w:rPr>
          <w:szCs w:val="24"/>
        </w:rPr>
        <w:t>tegelik laekumine on vähemalt 100% ja riskid on</w:t>
      </w:r>
      <w:r w:rsidR="00924C20" w:rsidRPr="007643EC">
        <w:rPr>
          <w:szCs w:val="24"/>
        </w:rPr>
        <w:t xml:space="preserve"> </w:t>
      </w:r>
      <w:r w:rsidRPr="007643EC">
        <w:rPr>
          <w:szCs w:val="24"/>
        </w:rPr>
        <w:t xml:space="preserve">võimalikult hästi </w:t>
      </w:r>
      <w:r w:rsidR="00924C20" w:rsidRPr="007643EC">
        <w:rPr>
          <w:szCs w:val="24"/>
        </w:rPr>
        <w:t>maandatud;</w:t>
      </w:r>
    </w:p>
    <w:p w:rsidR="00924C20" w:rsidRPr="007643EC" w:rsidRDefault="00FA2C32" w:rsidP="007643EC">
      <w:pPr>
        <w:pStyle w:val="Loendilik"/>
        <w:numPr>
          <w:ilvl w:val="0"/>
          <w:numId w:val="3"/>
        </w:numPr>
        <w:jc w:val="both"/>
        <w:rPr>
          <w:szCs w:val="24"/>
        </w:rPr>
      </w:pPr>
      <w:r w:rsidRPr="007643EC">
        <w:rPr>
          <w:szCs w:val="24"/>
        </w:rPr>
        <w:t>P</w:t>
      </w:r>
      <w:r w:rsidR="006C666F" w:rsidRPr="007643EC">
        <w:rPr>
          <w:szCs w:val="24"/>
        </w:rPr>
        <w:t xml:space="preserve">õhitegevuse tulude </w:t>
      </w:r>
      <w:r w:rsidR="00924C20" w:rsidRPr="007643EC">
        <w:rPr>
          <w:szCs w:val="24"/>
        </w:rPr>
        <w:t>kasv peab olema kiire</w:t>
      </w:r>
      <w:r w:rsidR="00955C1D" w:rsidRPr="007643EC">
        <w:rPr>
          <w:szCs w:val="24"/>
        </w:rPr>
        <w:t>m</w:t>
      </w:r>
      <w:r w:rsidRPr="007643EC">
        <w:rPr>
          <w:szCs w:val="24"/>
        </w:rPr>
        <w:t xml:space="preserve"> </w:t>
      </w:r>
      <w:r w:rsidR="00955C1D" w:rsidRPr="007643EC">
        <w:rPr>
          <w:szCs w:val="24"/>
        </w:rPr>
        <w:t>kui põhitegevuse kulude kasv;</w:t>
      </w:r>
    </w:p>
    <w:p w:rsidR="00955C1D" w:rsidRPr="007643EC" w:rsidRDefault="00FA2C32" w:rsidP="007643EC">
      <w:pPr>
        <w:pStyle w:val="Loendilik"/>
        <w:numPr>
          <w:ilvl w:val="0"/>
          <w:numId w:val="3"/>
        </w:numPr>
        <w:jc w:val="both"/>
        <w:rPr>
          <w:szCs w:val="24"/>
        </w:rPr>
      </w:pPr>
      <w:r w:rsidRPr="007643EC">
        <w:rPr>
          <w:szCs w:val="24"/>
        </w:rPr>
        <w:t xml:space="preserve">Tulude suurendamine, </w:t>
      </w:r>
      <w:r w:rsidR="00955C1D" w:rsidRPr="007643EC">
        <w:rPr>
          <w:szCs w:val="24"/>
        </w:rPr>
        <w:t>kasutades selleks seadusega lubatud võimalusi</w:t>
      </w:r>
      <w:r w:rsidRPr="007643EC">
        <w:rPr>
          <w:szCs w:val="24"/>
        </w:rPr>
        <w:t xml:space="preserve"> ning paremat majandamist</w:t>
      </w:r>
      <w:r w:rsidR="00955C1D" w:rsidRPr="007643EC">
        <w:rPr>
          <w:szCs w:val="24"/>
        </w:rPr>
        <w:t>.</w:t>
      </w:r>
    </w:p>
    <w:p w:rsidR="00B7299D" w:rsidRPr="006456B6" w:rsidRDefault="005D7C45" w:rsidP="006456B6">
      <w:pPr>
        <w:pStyle w:val="Pealkiri2"/>
        <w:rPr>
          <w:rFonts w:ascii="Times New Roman" w:hAnsi="Times New Roman" w:cs="Times New Roman"/>
          <w:color w:val="auto"/>
          <w:sz w:val="24"/>
          <w:szCs w:val="24"/>
          <w:lang w:val="et-EE"/>
        </w:rPr>
      </w:pPr>
      <w:bookmarkStart w:id="13" w:name="_Toc521395299"/>
      <w:r w:rsidRPr="006456B6">
        <w:rPr>
          <w:rFonts w:ascii="Times New Roman" w:hAnsi="Times New Roman" w:cs="Times New Roman"/>
          <w:color w:val="auto"/>
          <w:sz w:val="24"/>
          <w:szCs w:val="24"/>
          <w:lang w:val="et-EE"/>
        </w:rPr>
        <w:t>3.2</w:t>
      </w:r>
      <w:r w:rsidR="00D06485">
        <w:rPr>
          <w:rFonts w:ascii="Times New Roman" w:hAnsi="Times New Roman" w:cs="Times New Roman"/>
          <w:color w:val="auto"/>
          <w:sz w:val="24"/>
          <w:szCs w:val="24"/>
          <w:lang w:val="et-EE"/>
        </w:rPr>
        <w:t>.</w:t>
      </w:r>
      <w:r w:rsidR="00B7299D" w:rsidRPr="006456B6">
        <w:rPr>
          <w:rFonts w:ascii="Times New Roman" w:hAnsi="Times New Roman" w:cs="Times New Roman"/>
          <w:color w:val="auto"/>
          <w:sz w:val="24"/>
          <w:szCs w:val="24"/>
          <w:lang w:val="et-EE"/>
        </w:rPr>
        <w:t xml:space="preserve"> Põhitegevuse kulud</w:t>
      </w:r>
      <w:bookmarkEnd w:id="13"/>
    </w:p>
    <w:p w:rsidR="00B7299D" w:rsidRDefault="00B7299D" w:rsidP="006C666F">
      <w:pPr>
        <w:rPr>
          <w:rFonts w:ascii="Trebuchet MS" w:hAnsi="Trebuchet MS"/>
          <w:lang w:val="et-EE"/>
        </w:rPr>
      </w:pPr>
    </w:p>
    <w:p w:rsidR="00AB3326" w:rsidRPr="007643EC" w:rsidRDefault="00AB3326" w:rsidP="00AB3326">
      <w:pPr>
        <w:jc w:val="both"/>
        <w:rPr>
          <w:rFonts w:ascii="Trebuchet MS" w:hAnsi="Trebuchet MS"/>
          <w:b/>
          <w:sz w:val="22"/>
          <w:szCs w:val="22"/>
          <w:lang w:val="et-EE"/>
        </w:rPr>
      </w:pPr>
      <w:r w:rsidRPr="007643EC">
        <w:rPr>
          <w:lang w:val="et-EE"/>
        </w:rPr>
        <w:t>Viru-Nigula valla põhitegevuse kulude prognoos on toodud tabelis 6.</w:t>
      </w:r>
      <w:r w:rsidRPr="007643EC">
        <w:rPr>
          <w:rFonts w:ascii="Trebuchet MS" w:hAnsi="Trebuchet MS"/>
          <w:b/>
          <w:sz w:val="22"/>
          <w:szCs w:val="22"/>
          <w:lang w:val="et-EE"/>
        </w:rPr>
        <w:t xml:space="preserve"> </w:t>
      </w:r>
    </w:p>
    <w:p w:rsidR="004600A9" w:rsidRPr="004600A9" w:rsidRDefault="004600A9" w:rsidP="006C666F">
      <w:pPr>
        <w:rPr>
          <w:rFonts w:ascii="Trebuchet MS" w:hAnsi="Trebuchet MS"/>
          <w:b/>
          <w:sz w:val="22"/>
          <w:szCs w:val="22"/>
          <w:lang w:val="et-EE"/>
        </w:rPr>
      </w:pPr>
    </w:p>
    <w:tbl>
      <w:tblPr>
        <w:tblW w:w="9488" w:type="dxa"/>
        <w:tblCellMar>
          <w:left w:w="70" w:type="dxa"/>
          <w:right w:w="70" w:type="dxa"/>
        </w:tblCellMar>
        <w:tblLook w:val="04A0" w:firstRow="1" w:lastRow="0" w:firstColumn="1" w:lastColumn="0" w:noHBand="0" w:noVBand="1"/>
      </w:tblPr>
      <w:tblGrid>
        <w:gridCol w:w="2258"/>
        <w:gridCol w:w="1134"/>
        <w:gridCol w:w="1134"/>
        <w:gridCol w:w="993"/>
        <w:gridCol w:w="992"/>
        <w:gridCol w:w="992"/>
        <w:gridCol w:w="992"/>
        <w:gridCol w:w="993"/>
      </w:tblGrid>
      <w:tr w:rsidR="004D173A" w:rsidRPr="004D173A" w:rsidTr="00341EE2">
        <w:trPr>
          <w:trHeight w:val="1095"/>
        </w:trPr>
        <w:tc>
          <w:tcPr>
            <w:tcW w:w="2258" w:type="dxa"/>
            <w:tcBorders>
              <w:top w:val="single" w:sz="8" w:space="0" w:color="000000"/>
              <w:left w:val="single" w:sz="8" w:space="0" w:color="000000"/>
              <w:bottom w:val="single" w:sz="8" w:space="0" w:color="000000"/>
              <w:right w:val="nil"/>
            </w:tcBorders>
            <w:shd w:val="clear" w:color="auto" w:fill="D6E3BC" w:themeFill="accent3" w:themeFillTint="66"/>
            <w:vAlign w:val="bottom"/>
            <w:hideMark/>
          </w:tcPr>
          <w:p w:rsidR="004D173A" w:rsidRPr="004D173A" w:rsidRDefault="004D173A" w:rsidP="004D173A">
            <w:pPr>
              <w:jc w:val="center"/>
              <w:rPr>
                <w:rFonts w:ascii="Arial" w:hAnsi="Arial" w:cs="Arial"/>
                <w:b/>
                <w:bCs/>
                <w:sz w:val="16"/>
                <w:szCs w:val="16"/>
                <w:lang w:val="et-EE" w:eastAsia="et-EE"/>
              </w:rPr>
            </w:pPr>
            <w:r w:rsidRPr="004D173A">
              <w:rPr>
                <w:rFonts w:ascii="Arial" w:hAnsi="Arial" w:cs="Arial"/>
                <w:b/>
                <w:bCs/>
                <w:sz w:val="16"/>
                <w:szCs w:val="16"/>
                <w:lang w:val="et-EE" w:eastAsia="et-EE"/>
              </w:rPr>
              <w:t>Viru - Nigula vald määruse nr... ja kuupäev</w:t>
            </w:r>
          </w:p>
        </w:tc>
        <w:tc>
          <w:tcPr>
            <w:tcW w:w="113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bottom"/>
            <w:hideMark/>
          </w:tcPr>
          <w:p w:rsidR="004D173A" w:rsidRPr="004D173A" w:rsidRDefault="004D173A" w:rsidP="004D173A">
            <w:pPr>
              <w:jc w:val="center"/>
              <w:rPr>
                <w:rFonts w:ascii="Arial" w:hAnsi="Arial" w:cs="Arial"/>
                <w:b/>
                <w:bCs/>
                <w:sz w:val="16"/>
                <w:szCs w:val="16"/>
                <w:lang w:val="et-EE" w:eastAsia="et-EE"/>
              </w:rPr>
            </w:pPr>
            <w:r w:rsidRPr="004D173A">
              <w:rPr>
                <w:rFonts w:ascii="Arial" w:hAnsi="Arial" w:cs="Arial"/>
                <w:b/>
                <w:bCs/>
                <w:sz w:val="16"/>
                <w:szCs w:val="16"/>
                <w:lang w:val="et-EE" w:eastAsia="et-EE"/>
              </w:rPr>
              <w:t>2017 täitmine</w:t>
            </w:r>
          </w:p>
        </w:tc>
        <w:tc>
          <w:tcPr>
            <w:tcW w:w="1134"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4D173A" w:rsidRPr="004D173A" w:rsidRDefault="004D173A" w:rsidP="004D173A">
            <w:pPr>
              <w:jc w:val="center"/>
              <w:rPr>
                <w:rFonts w:ascii="Arial" w:hAnsi="Arial" w:cs="Arial"/>
                <w:b/>
                <w:bCs/>
                <w:sz w:val="16"/>
                <w:szCs w:val="16"/>
                <w:lang w:val="et-EE" w:eastAsia="et-EE"/>
              </w:rPr>
            </w:pPr>
            <w:r w:rsidRPr="004D173A">
              <w:rPr>
                <w:rFonts w:ascii="Arial" w:hAnsi="Arial" w:cs="Arial"/>
                <w:b/>
                <w:bCs/>
                <w:sz w:val="16"/>
                <w:szCs w:val="16"/>
                <w:lang w:val="et-EE" w:eastAsia="et-EE"/>
              </w:rPr>
              <w:t>2018 eeldatav täitmine</w:t>
            </w:r>
          </w:p>
        </w:tc>
        <w:tc>
          <w:tcPr>
            <w:tcW w:w="993"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4D173A" w:rsidRPr="004D173A" w:rsidRDefault="004D173A" w:rsidP="004D173A">
            <w:pPr>
              <w:jc w:val="center"/>
              <w:rPr>
                <w:rFonts w:ascii="Arial" w:hAnsi="Arial" w:cs="Arial"/>
                <w:b/>
                <w:bCs/>
                <w:sz w:val="16"/>
                <w:szCs w:val="16"/>
                <w:lang w:val="et-EE" w:eastAsia="et-EE"/>
              </w:rPr>
            </w:pPr>
            <w:r w:rsidRPr="004D173A">
              <w:rPr>
                <w:rFonts w:ascii="Arial" w:hAnsi="Arial" w:cs="Arial"/>
                <w:b/>
                <w:bCs/>
                <w:sz w:val="16"/>
                <w:szCs w:val="16"/>
                <w:lang w:val="et-EE" w:eastAsia="et-EE"/>
              </w:rPr>
              <w:t xml:space="preserve">2019 eelarve  </w:t>
            </w:r>
          </w:p>
        </w:tc>
        <w:tc>
          <w:tcPr>
            <w:tcW w:w="99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4D173A" w:rsidRPr="004D173A" w:rsidRDefault="004D173A" w:rsidP="004D173A">
            <w:pPr>
              <w:jc w:val="center"/>
              <w:rPr>
                <w:rFonts w:ascii="Arial" w:hAnsi="Arial" w:cs="Arial"/>
                <w:b/>
                <w:bCs/>
                <w:sz w:val="16"/>
                <w:szCs w:val="16"/>
                <w:lang w:val="et-EE" w:eastAsia="et-EE"/>
              </w:rPr>
            </w:pPr>
            <w:r w:rsidRPr="004D173A">
              <w:rPr>
                <w:rFonts w:ascii="Arial" w:hAnsi="Arial" w:cs="Arial"/>
                <w:b/>
                <w:bCs/>
                <w:sz w:val="16"/>
                <w:szCs w:val="16"/>
                <w:lang w:val="et-EE" w:eastAsia="et-EE"/>
              </w:rPr>
              <w:t xml:space="preserve">2020 eelarve  </w:t>
            </w:r>
          </w:p>
        </w:tc>
        <w:tc>
          <w:tcPr>
            <w:tcW w:w="99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4D173A" w:rsidRPr="004D173A" w:rsidRDefault="004D173A" w:rsidP="004D173A">
            <w:pPr>
              <w:jc w:val="center"/>
              <w:rPr>
                <w:rFonts w:ascii="Arial" w:hAnsi="Arial" w:cs="Arial"/>
                <w:b/>
                <w:bCs/>
                <w:sz w:val="16"/>
                <w:szCs w:val="16"/>
                <w:lang w:val="et-EE" w:eastAsia="et-EE"/>
              </w:rPr>
            </w:pPr>
            <w:r w:rsidRPr="004D173A">
              <w:rPr>
                <w:rFonts w:ascii="Arial" w:hAnsi="Arial" w:cs="Arial"/>
                <w:b/>
                <w:bCs/>
                <w:sz w:val="16"/>
                <w:szCs w:val="16"/>
                <w:lang w:val="et-EE" w:eastAsia="et-EE"/>
              </w:rPr>
              <w:t xml:space="preserve">2021 eelarve  </w:t>
            </w:r>
          </w:p>
        </w:tc>
        <w:tc>
          <w:tcPr>
            <w:tcW w:w="99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4D173A" w:rsidRPr="004D173A" w:rsidRDefault="004D173A" w:rsidP="004D173A">
            <w:pPr>
              <w:jc w:val="center"/>
              <w:rPr>
                <w:rFonts w:ascii="Arial" w:hAnsi="Arial" w:cs="Arial"/>
                <w:b/>
                <w:bCs/>
                <w:sz w:val="16"/>
                <w:szCs w:val="16"/>
                <w:lang w:val="et-EE" w:eastAsia="et-EE"/>
              </w:rPr>
            </w:pPr>
            <w:r w:rsidRPr="004D173A">
              <w:rPr>
                <w:rFonts w:ascii="Arial" w:hAnsi="Arial" w:cs="Arial"/>
                <w:b/>
                <w:bCs/>
                <w:sz w:val="16"/>
                <w:szCs w:val="16"/>
                <w:lang w:val="et-EE" w:eastAsia="et-EE"/>
              </w:rPr>
              <w:t xml:space="preserve">2022 eelarve  </w:t>
            </w:r>
          </w:p>
        </w:tc>
        <w:tc>
          <w:tcPr>
            <w:tcW w:w="993" w:type="dxa"/>
            <w:tcBorders>
              <w:top w:val="single" w:sz="8" w:space="0" w:color="000000"/>
              <w:left w:val="nil"/>
              <w:bottom w:val="single" w:sz="8" w:space="0" w:color="000000"/>
              <w:right w:val="single" w:sz="4" w:space="0" w:color="000000"/>
            </w:tcBorders>
            <w:shd w:val="clear" w:color="auto" w:fill="D6E3BC" w:themeFill="accent3" w:themeFillTint="66"/>
            <w:vAlign w:val="bottom"/>
            <w:hideMark/>
          </w:tcPr>
          <w:p w:rsidR="004D173A" w:rsidRPr="004D173A" w:rsidRDefault="004D173A" w:rsidP="004D173A">
            <w:pPr>
              <w:jc w:val="center"/>
              <w:rPr>
                <w:rFonts w:ascii="Arial" w:hAnsi="Arial" w:cs="Arial"/>
                <w:b/>
                <w:bCs/>
                <w:sz w:val="16"/>
                <w:szCs w:val="16"/>
                <w:lang w:val="et-EE" w:eastAsia="et-EE"/>
              </w:rPr>
            </w:pPr>
            <w:r w:rsidRPr="004D173A">
              <w:rPr>
                <w:rFonts w:ascii="Arial" w:hAnsi="Arial" w:cs="Arial"/>
                <w:b/>
                <w:bCs/>
                <w:sz w:val="16"/>
                <w:szCs w:val="16"/>
                <w:lang w:val="et-EE" w:eastAsia="et-EE"/>
              </w:rPr>
              <w:t xml:space="preserve">2023 eelarve  </w:t>
            </w:r>
          </w:p>
        </w:tc>
      </w:tr>
      <w:tr w:rsidR="004D173A" w:rsidRPr="004D173A" w:rsidTr="003431F9">
        <w:trPr>
          <w:trHeight w:val="225"/>
        </w:trPr>
        <w:tc>
          <w:tcPr>
            <w:tcW w:w="2258" w:type="dxa"/>
            <w:tcBorders>
              <w:top w:val="single" w:sz="4" w:space="0" w:color="000000"/>
              <w:left w:val="single" w:sz="8" w:space="0" w:color="000000"/>
              <w:bottom w:val="single" w:sz="4" w:space="0" w:color="000000"/>
              <w:right w:val="nil"/>
            </w:tcBorders>
            <w:shd w:val="clear" w:color="auto" w:fill="FFFFFF" w:themeFill="background1"/>
            <w:noWrap/>
            <w:vAlign w:val="bottom"/>
            <w:hideMark/>
          </w:tcPr>
          <w:p w:rsidR="004D173A" w:rsidRPr="004D173A" w:rsidRDefault="004D173A" w:rsidP="004D173A">
            <w:pPr>
              <w:rPr>
                <w:rFonts w:ascii="Arial" w:hAnsi="Arial" w:cs="Arial"/>
                <w:b/>
                <w:bCs/>
                <w:sz w:val="16"/>
                <w:szCs w:val="16"/>
                <w:lang w:val="et-EE" w:eastAsia="et-EE"/>
              </w:rPr>
            </w:pPr>
            <w:r w:rsidRPr="004D173A">
              <w:rPr>
                <w:rFonts w:ascii="Arial" w:hAnsi="Arial" w:cs="Arial"/>
                <w:b/>
                <w:bCs/>
                <w:sz w:val="16"/>
                <w:szCs w:val="16"/>
                <w:lang w:val="et-EE" w:eastAsia="et-EE"/>
              </w:rPr>
              <w:t>Põhitegevuse kulud kokku</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4D173A" w:rsidRPr="004D173A" w:rsidRDefault="004D173A" w:rsidP="004D173A">
            <w:pPr>
              <w:jc w:val="right"/>
              <w:rPr>
                <w:rFonts w:ascii="Arial" w:hAnsi="Arial" w:cs="Arial"/>
                <w:b/>
                <w:bCs/>
                <w:sz w:val="16"/>
                <w:szCs w:val="16"/>
                <w:lang w:val="et-EE" w:eastAsia="et-EE"/>
              </w:rPr>
            </w:pPr>
            <w:r w:rsidRPr="004D173A">
              <w:rPr>
                <w:rFonts w:ascii="Arial" w:hAnsi="Arial" w:cs="Arial"/>
                <w:b/>
                <w:bCs/>
                <w:sz w:val="16"/>
                <w:szCs w:val="16"/>
                <w:lang w:val="et-EE" w:eastAsia="et-EE"/>
              </w:rPr>
              <w:t>7 149 350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4D173A" w:rsidRPr="004D173A" w:rsidRDefault="004D173A" w:rsidP="004D173A">
            <w:pPr>
              <w:jc w:val="right"/>
              <w:rPr>
                <w:rFonts w:ascii="Arial" w:hAnsi="Arial" w:cs="Arial"/>
                <w:b/>
                <w:bCs/>
                <w:sz w:val="16"/>
                <w:szCs w:val="16"/>
                <w:lang w:val="et-EE" w:eastAsia="et-EE"/>
              </w:rPr>
            </w:pPr>
            <w:r w:rsidRPr="004D173A">
              <w:rPr>
                <w:rFonts w:ascii="Arial" w:hAnsi="Arial" w:cs="Arial"/>
                <w:b/>
                <w:bCs/>
                <w:sz w:val="16"/>
                <w:szCs w:val="16"/>
                <w:lang w:val="et-EE" w:eastAsia="et-EE"/>
              </w:rPr>
              <w:t>7 981 912</w:t>
            </w:r>
          </w:p>
        </w:tc>
        <w:tc>
          <w:tcPr>
            <w:tcW w:w="993" w:type="dxa"/>
            <w:tcBorders>
              <w:top w:val="single" w:sz="4" w:space="0" w:color="auto"/>
              <w:left w:val="nil"/>
              <w:bottom w:val="single" w:sz="4" w:space="0" w:color="auto"/>
              <w:right w:val="single" w:sz="4" w:space="0" w:color="auto"/>
            </w:tcBorders>
            <w:shd w:val="clear" w:color="auto" w:fill="FFFFFF" w:themeFill="background1"/>
            <w:vAlign w:val="bottom"/>
            <w:hideMark/>
          </w:tcPr>
          <w:p w:rsidR="004D173A" w:rsidRPr="004D173A" w:rsidRDefault="004D173A" w:rsidP="004D173A">
            <w:pPr>
              <w:jc w:val="right"/>
              <w:rPr>
                <w:rFonts w:ascii="Arial" w:hAnsi="Arial" w:cs="Arial"/>
                <w:b/>
                <w:bCs/>
                <w:sz w:val="16"/>
                <w:szCs w:val="16"/>
                <w:lang w:val="et-EE" w:eastAsia="et-EE"/>
              </w:rPr>
            </w:pPr>
            <w:r w:rsidRPr="004D173A">
              <w:rPr>
                <w:rFonts w:ascii="Arial" w:hAnsi="Arial" w:cs="Arial"/>
                <w:b/>
                <w:bCs/>
                <w:sz w:val="16"/>
                <w:szCs w:val="16"/>
                <w:lang w:val="et-EE" w:eastAsia="et-EE"/>
              </w:rPr>
              <w:t>8 070 000</w:t>
            </w:r>
          </w:p>
        </w:tc>
        <w:tc>
          <w:tcPr>
            <w:tcW w:w="992" w:type="dxa"/>
            <w:tcBorders>
              <w:top w:val="single" w:sz="4" w:space="0" w:color="auto"/>
              <w:left w:val="nil"/>
              <w:bottom w:val="single" w:sz="4" w:space="0" w:color="auto"/>
              <w:right w:val="single" w:sz="4" w:space="0" w:color="auto"/>
            </w:tcBorders>
            <w:shd w:val="clear" w:color="auto" w:fill="FFFFFF" w:themeFill="background1"/>
            <w:vAlign w:val="bottom"/>
            <w:hideMark/>
          </w:tcPr>
          <w:p w:rsidR="004D173A" w:rsidRPr="004D173A" w:rsidRDefault="004D173A" w:rsidP="004D173A">
            <w:pPr>
              <w:jc w:val="right"/>
              <w:rPr>
                <w:rFonts w:ascii="Arial" w:hAnsi="Arial" w:cs="Arial"/>
                <w:b/>
                <w:bCs/>
                <w:sz w:val="16"/>
                <w:szCs w:val="16"/>
                <w:lang w:val="et-EE" w:eastAsia="et-EE"/>
              </w:rPr>
            </w:pPr>
            <w:r w:rsidRPr="004D173A">
              <w:rPr>
                <w:rFonts w:ascii="Arial" w:hAnsi="Arial" w:cs="Arial"/>
                <w:b/>
                <w:bCs/>
                <w:sz w:val="16"/>
                <w:szCs w:val="16"/>
                <w:lang w:val="et-EE" w:eastAsia="et-EE"/>
              </w:rPr>
              <w:t>8 170 000</w:t>
            </w:r>
          </w:p>
        </w:tc>
        <w:tc>
          <w:tcPr>
            <w:tcW w:w="992" w:type="dxa"/>
            <w:tcBorders>
              <w:top w:val="single" w:sz="4" w:space="0" w:color="auto"/>
              <w:left w:val="nil"/>
              <w:bottom w:val="single" w:sz="4" w:space="0" w:color="auto"/>
              <w:right w:val="single" w:sz="4" w:space="0" w:color="auto"/>
            </w:tcBorders>
            <w:shd w:val="clear" w:color="auto" w:fill="FFFFFF" w:themeFill="background1"/>
            <w:vAlign w:val="bottom"/>
            <w:hideMark/>
          </w:tcPr>
          <w:p w:rsidR="004D173A" w:rsidRPr="004D173A" w:rsidRDefault="004D173A" w:rsidP="004D173A">
            <w:pPr>
              <w:jc w:val="right"/>
              <w:rPr>
                <w:rFonts w:ascii="Arial" w:hAnsi="Arial" w:cs="Arial"/>
                <w:b/>
                <w:bCs/>
                <w:sz w:val="16"/>
                <w:szCs w:val="16"/>
                <w:lang w:val="et-EE" w:eastAsia="et-EE"/>
              </w:rPr>
            </w:pPr>
            <w:r w:rsidRPr="004D173A">
              <w:rPr>
                <w:rFonts w:ascii="Arial" w:hAnsi="Arial" w:cs="Arial"/>
                <w:b/>
                <w:bCs/>
                <w:sz w:val="16"/>
                <w:szCs w:val="16"/>
                <w:lang w:val="et-EE" w:eastAsia="et-EE"/>
              </w:rPr>
              <w:t>8 310 000</w:t>
            </w:r>
          </w:p>
        </w:tc>
        <w:tc>
          <w:tcPr>
            <w:tcW w:w="992" w:type="dxa"/>
            <w:tcBorders>
              <w:top w:val="single" w:sz="4" w:space="0" w:color="auto"/>
              <w:left w:val="nil"/>
              <w:bottom w:val="single" w:sz="4" w:space="0" w:color="auto"/>
              <w:right w:val="single" w:sz="4" w:space="0" w:color="auto"/>
            </w:tcBorders>
            <w:shd w:val="clear" w:color="auto" w:fill="FFFFFF" w:themeFill="background1"/>
            <w:vAlign w:val="bottom"/>
            <w:hideMark/>
          </w:tcPr>
          <w:p w:rsidR="004D173A" w:rsidRPr="004D173A" w:rsidRDefault="004D173A" w:rsidP="004D173A">
            <w:pPr>
              <w:jc w:val="right"/>
              <w:rPr>
                <w:rFonts w:ascii="Arial" w:hAnsi="Arial" w:cs="Arial"/>
                <w:b/>
                <w:bCs/>
                <w:sz w:val="16"/>
                <w:szCs w:val="16"/>
                <w:lang w:val="et-EE" w:eastAsia="et-EE"/>
              </w:rPr>
            </w:pPr>
            <w:r w:rsidRPr="004D173A">
              <w:rPr>
                <w:rFonts w:ascii="Arial" w:hAnsi="Arial" w:cs="Arial"/>
                <w:b/>
                <w:bCs/>
                <w:sz w:val="16"/>
                <w:szCs w:val="16"/>
                <w:lang w:val="et-EE" w:eastAsia="et-EE"/>
              </w:rPr>
              <w:t>8 405 000</w:t>
            </w:r>
          </w:p>
        </w:tc>
        <w:tc>
          <w:tcPr>
            <w:tcW w:w="993" w:type="dxa"/>
            <w:tcBorders>
              <w:top w:val="single" w:sz="4" w:space="0" w:color="000000"/>
              <w:left w:val="nil"/>
              <w:bottom w:val="single" w:sz="4" w:space="0" w:color="000000"/>
              <w:right w:val="single" w:sz="8" w:space="0" w:color="000000"/>
            </w:tcBorders>
            <w:shd w:val="clear" w:color="auto" w:fill="FFFFFF" w:themeFill="background1"/>
            <w:vAlign w:val="bottom"/>
            <w:hideMark/>
          </w:tcPr>
          <w:p w:rsidR="004D173A" w:rsidRPr="004D173A" w:rsidRDefault="004D173A" w:rsidP="004D173A">
            <w:pPr>
              <w:jc w:val="right"/>
              <w:rPr>
                <w:rFonts w:ascii="Arial" w:hAnsi="Arial" w:cs="Arial"/>
                <w:b/>
                <w:bCs/>
                <w:sz w:val="16"/>
                <w:szCs w:val="16"/>
                <w:lang w:val="et-EE" w:eastAsia="et-EE"/>
              </w:rPr>
            </w:pPr>
            <w:r w:rsidRPr="004D173A">
              <w:rPr>
                <w:rFonts w:ascii="Arial" w:hAnsi="Arial" w:cs="Arial"/>
                <w:b/>
                <w:bCs/>
                <w:sz w:val="16"/>
                <w:szCs w:val="16"/>
                <w:lang w:val="et-EE" w:eastAsia="et-EE"/>
              </w:rPr>
              <w:t>8 495 000</w:t>
            </w:r>
          </w:p>
        </w:tc>
      </w:tr>
      <w:tr w:rsidR="004D173A" w:rsidRPr="004D173A" w:rsidTr="003431F9">
        <w:trPr>
          <w:trHeight w:val="225"/>
        </w:trPr>
        <w:tc>
          <w:tcPr>
            <w:tcW w:w="2258" w:type="dxa"/>
            <w:tcBorders>
              <w:top w:val="nil"/>
              <w:left w:val="single" w:sz="8" w:space="0" w:color="000000"/>
              <w:bottom w:val="single" w:sz="4" w:space="0" w:color="000000"/>
              <w:right w:val="nil"/>
            </w:tcBorders>
            <w:shd w:val="clear" w:color="auto" w:fill="FFFFFF" w:themeFill="background1"/>
            <w:noWrap/>
            <w:vAlign w:val="bottom"/>
            <w:hideMark/>
          </w:tcPr>
          <w:p w:rsidR="004D173A" w:rsidRPr="004D173A" w:rsidRDefault="004D173A" w:rsidP="004D173A">
            <w:pPr>
              <w:rPr>
                <w:rFonts w:ascii="Arial" w:hAnsi="Arial" w:cs="Arial"/>
                <w:sz w:val="16"/>
                <w:szCs w:val="16"/>
                <w:lang w:val="et-EE" w:eastAsia="et-EE"/>
              </w:rPr>
            </w:pPr>
            <w:r w:rsidRPr="004D173A">
              <w:rPr>
                <w:rFonts w:ascii="Arial" w:hAnsi="Arial" w:cs="Arial"/>
                <w:sz w:val="16"/>
                <w:szCs w:val="16"/>
                <w:lang w:val="et-EE" w:eastAsia="et-EE"/>
              </w:rPr>
              <w:t xml:space="preserve">     Antavad toetused tegevuskuludeks</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694 564</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519 934</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500 000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500 000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500 000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500 000</w:t>
            </w:r>
          </w:p>
        </w:tc>
        <w:tc>
          <w:tcPr>
            <w:tcW w:w="993" w:type="dxa"/>
            <w:tcBorders>
              <w:top w:val="nil"/>
              <w:left w:val="nil"/>
              <w:bottom w:val="single" w:sz="4" w:space="0" w:color="000000"/>
              <w:right w:val="single" w:sz="4" w:space="0" w:color="000000"/>
            </w:tcBorders>
            <w:shd w:val="clear" w:color="auto" w:fill="FFFFFF" w:themeFill="background1"/>
            <w:noWrap/>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500 000</w:t>
            </w:r>
          </w:p>
        </w:tc>
      </w:tr>
      <w:tr w:rsidR="004D173A" w:rsidRPr="004D173A" w:rsidTr="003431F9">
        <w:trPr>
          <w:trHeight w:val="225"/>
        </w:trPr>
        <w:tc>
          <w:tcPr>
            <w:tcW w:w="2258" w:type="dxa"/>
            <w:tcBorders>
              <w:top w:val="nil"/>
              <w:left w:val="single" w:sz="8" w:space="0" w:color="000000"/>
              <w:bottom w:val="single" w:sz="4" w:space="0" w:color="000000"/>
              <w:right w:val="nil"/>
            </w:tcBorders>
            <w:shd w:val="clear" w:color="auto" w:fill="FFFFFF" w:themeFill="background1"/>
            <w:noWrap/>
            <w:vAlign w:val="bottom"/>
            <w:hideMark/>
          </w:tcPr>
          <w:p w:rsidR="004D173A" w:rsidRPr="004D173A" w:rsidRDefault="004D173A" w:rsidP="004D173A">
            <w:pPr>
              <w:rPr>
                <w:rFonts w:ascii="Arial" w:hAnsi="Arial" w:cs="Arial"/>
                <w:sz w:val="16"/>
                <w:szCs w:val="16"/>
                <w:lang w:val="et-EE" w:eastAsia="et-EE"/>
              </w:rPr>
            </w:pPr>
            <w:r w:rsidRPr="004D173A">
              <w:rPr>
                <w:rFonts w:ascii="Arial" w:hAnsi="Arial" w:cs="Arial"/>
                <w:sz w:val="16"/>
                <w:szCs w:val="16"/>
                <w:lang w:val="et-EE" w:eastAsia="et-EE"/>
              </w:rPr>
              <w:t xml:space="preserve">     Muud tegevuskulud</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6 454 786</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7 461 978</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7 570 000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7 670 000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7 810 000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7 905 000</w:t>
            </w:r>
          </w:p>
        </w:tc>
        <w:tc>
          <w:tcPr>
            <w:tcW w:w="993" w:type="dxa"/>
            <w:tcBorders>
              <w:top w:val="nil"/>
              <w:left w:val="nil"/>
              <w:bottom w:val="single" w:sz="4" w:space="0" w:color="000000"/>
              <w:right w:val="single" w:sz="8" w:space="0" w:color="000000"/>
            </w:tcBorders>
            <w:shd w:val="clear" w:color="auto" w:fill="FFFFFF" w:themeFill="background1"/>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7 995 000</w:t>
            </w:r>
          </w:p>
        </w:tc>
      </w:tr>
      <w:tr w:rsidR="004D173A" w:rsidRPr="004D173A" w:rsidTr="003431F9">
        <w:trPr>
          <w:trHeight w:val="225"/>
        </w:trPr>
        <w:tc>
          <w:tcPr>
            <w:tcW w:w="2258" w:type="dxa"/>
            <w:tcBorders>
              <w:top w:val="nil"/>
              <w:left w:val="single" w:sz="8" w:space="0" w:color="000000"/>
              <w:bottom w:val="single" w:sz="4" w:space="0" w:color="000000"/>
              <w:right w:val="nil"/>
            </w:tcBorders>
            <w:shd w:val="clear" w:color="auto" w:fill="FFFFFF" w:themeFill="background1"/>
            <w:noWrap/>
            <w:vAlign w:val="bottom"/>
            <w:hideMark/>
          </w:tcPr>
          <w:p w:rsidR="004D173A" w:rsidRPr="004D173A" w:rsidRDefault="004D173A" w:rsidP="004D173A">
            <w:pPr>
              <w:rPr>
                <w:rFonts w:ascii="Arial" w:hAnsi="Arial" w:cs="Arial"/>
                <w:sz w:val="16"/>
                <w:szCs w:val="16"/>
                <w:lang w:val="et-EE" w:eastAsia="et-EE"/>
              </w:rPr>
            </w:pPr>
            <w:r w:rsidRPr="004D173A">
              <w:rPr>
                <w:rFonts w:ascii="Arial" w:hAnsi="Arial" w:cs="Arial"/>
                <w:sz w:val="16"/>
                <w:szCs w:val="16"/>
                <w:lang w:val="et-EE" w:eastAsia="et-EE"/>
              </w:rPr>
              <w:t xml:space="preserve">          sh personalikulud</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4 214 684</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4 804 647</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4 900 000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4 965 000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5 055 000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5 120 000</w:t>
            </w:r>
          </w:p>
        </w:tc>
        <w:tc>
          <w:tcPr>
            <w:tcW w:w="993" w:type="dxa"/>
            <w:tcBorders>
              <w:top w:val="nil"/>
              <w:left w:val="nil"/>
              <w:bottom w:val="single" w:sz="4" w:space="0" w:color="000000"/>
              <w:right w:val="single" w:sz="4" w:space="0" w:color="000000"/>
            </w:tcBorders>
            <w:shd w:val="clear" w:color="auto" w:fill="FFFFFF" w:themeFill="background1"/>
            <w:noWrap/>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5 170 000</w:t>
            </w:r>
          </w:p>
        </w:tc>
      </w:tr>
      <w:tr w:rsidR="004D173A" w:rsidRPr="004D173A" w:rsidTr="003431F9">
        <w:trPr>
          <w:trHeight w:val="225"/>
        </w:trPr>
        <w:tc>
          <w:tcPr>
            <w:tcW w:w="2258" w:type="dxa"/>
            <w:tcBorders>
              <w:top w:val="nil"/>
              <w:left w:val="single" w:sz="8" w:space="0" w:color="000000"/>
              <w:bottom w:val="single" w:sz="4" w:space="0" w:color="000000"/>
              <w:right w:val="nil"/>
            </w:tcBorders>
            <w:shd w:val="clear" w:color="auto" w:fill="FFFFFF" w:themeFill="background1"/>
            <w:noWrap/>
            <w:vAlign w:val="bottom"/>
            <w:hideMark/>
          </w:tcPr>
          <w:p w:rsidR="004D173A" w:rsidRPr="004D173A" w:rsidRDefault="004D173A" w:rsidP="004D173A">
            <w:pPr>
              <w:rPr>
                <w:rFonts w:ascii="Arial" w:hAnsi="Arial" w:cs="Arial"/>
                <w:sz w:val="16"/>
                <w:szCs w:val="16"/>
                <w:lang w:val="et-EE" w:eastAsia="et-EE"/>
              </w:rPr>
            </w:pPr>
            <w:r w:rsidRPr="004D173A">
              <w:rPr>
                <w:rFonts w:ascii="Arial" w:hAnsi="Arial" w:cs="Arial"/>
                <w:sz w:val="16"/>
                <w:szCs w:val="16"/>
                <w:lang w:val="et-EE" w:eastAsia="et-EE"/>
              </w:rPr>
              <w:t xml:space="preserve">          sh majandamiskulud</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2 228 449</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2 607 606</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2 620 000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2 655 000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2 705 000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2 735 000</w:t>
            </w:r>
          </w:p>
        </w:tc>
        <w:tc>
          <w:tcPr>
            <w:tcW w:w="993" w:type="dxa"/>
            <w:tcBorders>
              <w:top w:val="nil"/>
              <w:left w:val="nil"/>
              <w:bottom w:val="single" w:sz="4" w:space="0" w:color="000000"/>
              <w:right w:val="single" w:sz="4" w:space="0" w:color="000000"/>
            </w:tcBorders>
            <w:shd w:val="clear" w:color="auto" w:fill="FFFFFF" w:themeFill="background1"/>
            <w:noWrap/>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2 775 000</w:t>
            </w:r>
          </w:p>
        </w:tc>
      </w:tr>
      <w:tr w:rsidR="004D173A" w:rsidRPr="004D173A" w:rsidTr="003431F9">
        <w:trPr>
          <w:trHeight w:val="225"/>
        </w:trPr>
        <w:tc>
          <w:tcPr>
            <w:tcW w:w="2258" w:type="dxa"/>
            <w:tcBorders>
              <w:top w:val="nil"/>
              <w:left w:val="single" w:sz="8" w:space="0" w:color="000000"/>
              <w:bottom w:val="single" w:sz="4" w:space="0" w:color="000000"/>
              <w:right w:val="nil"/>
            </w:tcBorders>
            <w:shd w:val="clear" w:color="auto" w:fill="FFFFFF" w:themeFill="background1"/>
            <w:noWrap/>
            <w:vAlign w:val="bottom"/>
            <w:hideMark/>
          </w:tcPr>
          <w:p w:rsidR="004D173A" w:rsidRPr="004D173A" w:rsidRDefault="004D173A" w:rsidP="004D173A">
            <w:pPr>
              <w:rPr>
                <w:rFonts w:ascii="Arial" w:hAnsi="Arial" w:cs="Arial"/>
                <w:i/>
                <w:iCs/>
                <w:sz w:val="16"/>
                <w:szCs w:val="16"/>
                <w:lang w:val="et-EE" w:eastAsia="et-EE"/>
              </w:rPr>
            </w:pPr>
            <w:r w:rsidRPr="004D173A">
              <w:rPr>
                <w:rFonts w:ascii="Arial" w:hAnsi="Arial" w:cs="Arial"/>
                <w:i/>
                <w:iCs/>
                <w:sz w:val="16"/>
                <w:szCs w:val="16"/>
                <w:lang w:val="et-EE" w:eastAsia="et-EE"/>
              </w:rPr>
              <w:lastRenderedPageBreak/>
              <w:t xml:space="preserve">             sh alates </w:t>
            </w:r>
            <w:r w:rsidRPr="004D173A">
              <w:rPr>
                <w:rFonts w:ascii="Arial" w:hAnsi="Arial" w:cs="Arial"/>
                <w:b/>
                <w:bCs/>
                <w:i/>
                <w:iCs/>
                <w:sz w:val="16"/>
                <w:szCs w:val="16"/>
                <w:lang w:val="et-EE" w:eastAsia="et-EE"/>
              </w:rPr>
              <w:t>2012</w:t>
            </w:r>
            <w:r w:rsidRPr="004D173A">
              <w:rPr>
                <w:rFonts w:ascii="Arial" w:hAnsi="Arial" w:cs="Arial"/>
                <w:i/>
                <w:iCs/>
                <w:sz w:val="16"/>
                <w:szCs w:val="16"/>
                <w:lang w:val="et-EE" w:eastAsia="et-EE"/>
              </w:rPr>
              <w:t xml:space="preserve"> sõlmitud katkestamatud kasutusrendimaksed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4D173A" w:rsidRPr="004D173A" w:rsidRDefault="004D173A" w:rsidP="004D173A">
            <w:pPr>
              <w:rPr>
                <w:rFonts w:ascii="Arial" w:hAnsi="Arial" w:cs="Arial"/>
                <w:sz w:val="16"/>
                <w:szCs w:val="16"/>
                <w:lang w:val="et-EE" w:eastAsia="et-EE"/>
              </w:rPr>
            </w:pPr>
            <w:r w:rsidRPr="004D173A">
              <w:rPr>
                <w:rFonts w:ascii="Arial" w:hAnsi="Arial" w:cs="Arial"/>
                <w:sz w:val="16"/>
                <w:szCs w:val="16"/>
                <w:lang w:val="et-EE" w:eastAsia="et-EE"/>
              </w:rPr>
              <w:t> </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4D173A" w:rsidRPr="004D173A" w:rsidRDefault="004D173A" w:rsidP="004D173A">
            <w:pPr>
              <w:rPr>
                <w:rFonts w:ascii="Arial" w:hAnsi="Arial" w:cs="Arial"/>
                <w:sz w:val="16"/>
                <w:szCs w:val="16"/>
                <w:lang w:val="et-EE" w:eastAsia="et-EE"/>
              </w:rPr>
            </w:pPr>
            <w:r w:rsidRPr="004D173A">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4D173A" w:rsidRPr="004D173A" w:rsidRDefault="004D173A" w:rsidP="004D173A">
            <w:pPr>
              <w:rPr>
                <w:rFonts w:ascii="Arial" w:hAnsi="Arial" w:cs="Arial"/>
                <w:sz w:val="16"/>
                <w:szCs w:val="16"/>
                <w:lang w:val="et-EE" w:eastAsia="et-EE"/>
              </w:rPr>
            </w:pPr>
            <w:r w:rsidRPr="004D173A">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4D173A" w:rsidRPr="004D173A" w:rsidRDefault="004D173A" w:rsidP="004D173A">
            <w:pPr>
              <w:rPr>
                <w:rFonts w:ascii="Arial" w:hAnsi="Arial" w:cs="Arial"/>
                <w:sz w:val="16"/>
                <w:szCs w:val="16"/>
                <w:lang w:val="et-EE" w:eastAsia="et-EE"/>
              </w:rPr>
            </w:pPr>
            <w:r w:rsidRPr="004D173A">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4D173A" w:rsidRPr="004D173A" w:rsidRDefault="004D173A" w:rsidP="004D173A">
            <w:pPr>
              <w:rPr>
                <w:rFonts w:ascii="Arial" w:hAnsi="Arial" w:cs="Arial"/>
                <w:sz w:val="16"/>
                <w:szCs w:val="16"/>
                <w:lang w:val="et-EE" w:eastAsia="et-EE"/>
              </w:rPr>
            </w:pPr>
            <w:r w:rsidRPr="004D173A">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4D173A" w:rsidRPr="004D173A" w:rsidRDefault="004D173A" w:rsidP="004D173A">
            <w:pPr>
              <w:rPr>
                <w:rFonts w:ascii="Arial" w:hAnsi="Arial" w:cs="Arial"/>
                <w:sz w:val="16"/>
                <w:szCs w:val="16"/>
                <w:lang w:val="et-EE" w:eastAsia="et-EE"/>
              </w:rPr>
            </w:pPr>
            <w:r w:rsidRPr="004D173A">
              <w:rPr>
                <w:rFonts w:ascii="Arial" w:hAnsi="Arial" w:cs="Arial"/>
                <w:sz w:val="16"/>
                <w:szCs w:val="16"/>
                <w:lang w:val="et-EE" w:eastAsia="et-EE"/>
              </w:rPr>
              <w:t> </w:t>
            </w:r>
          </w:p>
        </w:tc>
        <w:tc>
          <w:tcPr>
            <w:tcW w:w="993" w:type="dxa"/>
            <w:tcBorders>
              <w:top w:val="nil"/>
              <w:left w:val="nil"/>
              <w:bottom w:val="single" w:sz="4" w:space="0" w:color="000000"/>
              <w:right w:val="single" w:sz="8" w:space="0" w:color="000000"/>
            </w:tcBorders>
            <w:shd w:val="clear" w:color="auto" w:fill="FFFFFF" w:themeFill="background1"/>
            <w:noWrap/>
            <w:vAlign w:val="bottom"/>
            <w:hideMark/>
          </w:tcPr>
          <w:p w:rsidR="004D173A" w:rsidRPr="004D173A" w:rsidRDefault="004D173A" w:rsidP="004D173A">
            <w:pPr>
              <w:rPr>
                <w:rFonts w:ascii="Arial" w:hAnsi="Arial" w:cs="Arial"/>
                <w:sz w:val="16"/>
                <w:szCs w:val="16"/>
                <w:lang w:val="et-EE" w:eastAsia="et-EE"/>
              </w:rPr>
            </w:pPr>
            <w:r w:rsidRPr="004D173A">
              <w:rPr>
                <w:rFonts w:ascii="Arial" w:hAnsi="Arial" w:cs="Arial"/>
                <w:sz w:val="16"/>
                <w:szCs w:val="16"/>
                <w:lang w:val="et-EE" w:eastAsia="et-EE"/>
              </w:rPr>
              <w:t> </w:t>
            </w:r>
          </w:p>
        </w:tc>
      </w:tr>
      <w:tr w:rsidR="004D173A" w:rsidRPr="004D173A" w:rsidTr="003431F9">
        <w:trPr>
          <w:trHeight w:val="225"/>
        </w:trPr>
        <w:tc>
          <w:tcPr>
            <w:tcW w:w="2258" w:type="dxa"/>
            <w:tcBorders>
              <w:top w:val="nil"/>
              <w:left w:val="single" w:sz="8" w:space="0" w:color="000000"/>
              <w:bottom w:val="single" w:sz="4" w:space="0" w:color="000000"/>
              <w:right w:val="nil"/>
            </w:tcBorders>
            <w:shd w:val="clear" w:color="auto" w:fill="FFFFFF" w:themeFill="background1"/>
            <w:noWrap/>
            <w:vAlign w:val="bottom"/>
            <w:hideMark/>
          </w:tcPr>
          <w:p w:rsidR="004D173A" w:rsidRPr="004D173A" w:rsidRDefault="004D173A" w:rsidP="004D173A">
            <w:pPr>
              <w:rPr>
                <w:rFonts w:ascii="Arial" w:hAnsi="Arial" w:cs="Arial"/>
                <w:sz w:val="16"/>
                <w:szCs w:val="16"/>
                <w:lang w:val="et-EE" w:eastAsia="et-EE"/>
              </w:rPr>
            </w:pPr>
            <w:r w:rsidRPr="004D173A">
              <w:rPr>
                <w:rFonts w:ascii="Arial" w:hAnsi="Arial" w:cs="Arial"/>
                <w:sz w:val="16"/>
                <w:szCs w:val="16"/>
                <w:lang w:val="et-EE" w:eastAsia="et-EE"/>
              </w:rPr>
              <w:t xml:space="preserve">          sh muud kulud</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11 652</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49 725</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50 000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50 000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50 000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50 000</w:t>
            </w:r>
          </w:p>
        </w:tc>
        <w:tc>
          <w:tcPr>
            <w:tcW w:w="993" w:type="dxa"/>
            <w:tcBorders>
              <w:top w:val="nil"/>
              <w:left w:val="nil"/>
              <w:bottom w:val="single" w:sz="4" w:space="0" w:color="000000"/>
              <w:right w:val="single" w:sz="4" w:space="0" w:color="000000"/>
            </w:tcBorders>
            <w:shd w:val="clear" w:color="auto" w:fill="FFFFFF" w:themeFill="background1"/>
            <w:noWrap/>
            <w:vAlign w:val="bottom"/>
            <w:hideMark/>
          </w:tcPr>
          <w:p w:rsidR="004D173A" w:rsidRPr="004D173A" w:rsidRDefault="004D173A" w:rsidP="004D173A">
            <w:pPr>
              <w:jc w:val="right"/>
              <w:rPr>
                <w:rFonts w:ascii="Arial" w:hAnsi="Arial" w:cs="Arial"/>
                <w:sz w:val="16"/>
                <w:szCs w:val="16"/>
                <w:lang w:val="et-EE" w:eastAsia="et-EE"/>
              </w:rPr>
            </w:pPr>
            <w:r w:rsidRPr="004D173A">
              <w:rPr>
                <w:rFonts w:ascii="Arial" w:hAnsi="Arial" w:cs="Arial"/>
                <w:sz w:val="16"/>
                <w:szCs w:val="16"/>
                <w:lang w:val="et-EE" w:eastAsia="et-EE"/>
              </w:rPr>
              <w:t>50 000</w:t>
            </w:r>
          </w:p>
        </w:tc>
      </w:tr>
    </w:tbl>
    <w:p w:rsidR="004D173A" w:rsidRDefault="004D173A" w:rsidP="00924C20">
      <w:pPr>
        <w:rPr>
          <w:b/>
          <w:sz w:val="20"/>
          <w:szCs w:val="20"/>
          <w:lang w:val="et-EE"/>
        </w:rPr>
      </w:pPr>
    </w:p>
    <w:p w:rsidR="00924C20" w:rsidRPr="007643EC" w:rsidRDefault="00FB188F" w:rsidP="00924C20">
      <w:pPr>
        <w:rPr>
          <w:sz w:val="20"/>
          <w:szCs w:val="20"/>
          <w:lang w:val="et-EE"/>
        </w:rPr>
      </w:pPr>
      <w:r w:rsidRPr="007643EC">
        <w:rPr>
          <w:b/>
          <w:sz w:val="20"/>
          <w:szCs w:val="20"/>
          <w:lang w:val="et-EE"/>
        </w:rPr>
        <w:t>Tabel 6. Viru-Nigula valla põhitegevuse kulude prognoos.</w:t>
      </w:r>
    </w:p>
    <w:p w:rsidR="00FB188F" w:rsidRPr="007643EC" w:rsidRDefault="00FB188F" w:rsidP="004600A9">
      <w:pPr>
        <w:jc w:val="both"/>
        <w:rPr>
          <w:sz w:val="20"/>
          <w:szCs w:val="20"/>
          <w:lang w:val="et-EE"/>
        </w:rPr>
      </w:pPr>
    </w:p>
    <w:p w:rsidR="00924C20" w:rsidRPr="007643EC" w:rsidRDefault="00006B5C" w:rsidP="007643EC">
      <w:pPr>
        <w:spacing w:line="276" w:lineRule="auto"/>
        <w:jc w:val="both"/>
        <w:rPr>
          <w:lang w:val="et-EE"/>
        </w:rPr>
      </w:pPr>
      <w:r w:rsidRPr="007643EC">
        <w:rPr>
          <w:lang w:val="et-EE"/>
        </w:rPr>
        <w:t>Kulude struktuuris on toodud jaotus eraldi toetuste, personalikulude, majandamiskulude ja muude kulude lõikes.</w:t>
      </w:r>
      <w:r w:rsidR="00AB3326" w:rsidRPr="007643EC">
        <w:rPr>
          <w:lang w:val="et-EE"/>
        </w:rPr>
        <w:t xml:space="preserve"> </w:t>
      </w:r>
      <w:r w:rsidR="004D173A" w:rsidRPr="004D173A">
        <w:rPr>
          <w:b/>
          <w:lang w:val="et-EE"/>
        </w:rPr>
        <w:t>Põhitegevuse kulude planeerimisel on arvestatud ka kõiki pikemaks, kui aastaks sõlmitud lepinguid, mis tagavad seadusega pandud kohustuste täitmise: majanduses, keskkonnakaitses, kommunaalmajanduses, hariduses ja noorsootöös, kultuuri, vaba-</w:t>
      </w:r>
      <w:r w:rsidR="00F17877">
        <w:rPr>
          <w:b/>
          <w:lang w:val="et-EE"/>
        </w:rPr>
        <w:t>aja ja spordis, sotsiaalkaitses</w:t>
      </w:r>
      <w:r w:rsidR="004D173A" w:rsidRPr="004D173A">
        <w:rPr>
          <w:b/>
          <w:lang w:val="et-EE"/>
        </w:rPr>
        <w:t xml:space="preserve"> jne. </w:t>
      </w:r>
      <w:r w:rsidR="00924C20" w:rsidRPr="007643EC">
        <w:rPr>
          <w:lang w:val="et-EE"/>
        </w:rPr>
        <w:t xml:space="preserve">Põhitegevuse kulude kasv on enam-vähem võrreldav põhitegevuse tulude kasvuga. Põhitegevuse kulude maht ületab </w:t>
      </w:r>
      <w:r w:rsidR="004600A9" w:rsidRPr="007643EC">
        <w:rPr>
          <w:lang w:val="et-EE"/>
        </w:rPr>
        <w:t xml:space="preserve">eelarvestrateegia </w:t>
      </w:r>
      <w:r w:rsidR="00924C20" w:rsidRPr="007643EC">
        <w:rPr>
          <w:lang w:val="et-EE"/>
        </w:rPr>
        <w:t>perioodil 8 milj</w:t>
      </w:r>
      <w:r w:rsidR="00AB3326" w:rsidRPr="007643EC">
        <w:rPr>
          <w:lang w:val="et-EE"/>
        </w:rPr>
        <w:t>oni</w:t>
      </w:r>
      <w:r w:rsidR="00924C20" w:rsidRPr="007643EC">
        <w:rPr>
          <w:lang w:val="et-EE"/>
        </w:rPr>
        <w:t xml:space="preserve"> euro piiri. Kulude mahu kasvul on mitu põhjust:</w:t>
      </w:r>
    </w:p>
    <w:p w:rsidR="004600A9" w:rsidRPr="007643EC" w:rsidRDefault="004600A9" w:rsidP="007643EC">
      <w:pPr>
        <w:spacing w:line="276" w:lineRule="auto"/>
        <w:jc w:val="both"/>
        <w:rPr>
          <w:lang w:val="et-EE"/>
        </w:rPr>
      </w:pPr>
    </w:p>
    <w:p w:rsidR="00924C20" w:rsidRPr="007643EC" w:rsidRDefault="00EC46DF" w:rsidP="007643EC">
      <w:pPr>
        <w:pStyle w:val="Loendilik"/>
        <w:numPr>
          <w:ilvl w:val="0"/>
          <w:numId w:val="2"/>
        </w:numPr>
        <w:jc w:val="both"/>
        <w:rPr>
          <w:szCs w:val="24"/>
        </w:rPr>
      </w:pPr>
      <w:r w:rsidRPr="007643EC">
        <w:rPr>
          <w:szCs w:val="24"/>
        </w:rPr>
        <w:t>Riigi keskvalitsuse</w:t>
      </w:r>
      <w:r w:rsidR="00924C20" w:rsidRPr="007643EC">
        <w:rPr>
          <w:szCs w:val="24"/>
        </w:rPr>
        <w:t xml:space="preserve"> otsused </w:t>
      </w:r>
      <w:r w:rsidR="00AB3326" w:rsidRPr="007643EC">
        <w:rPr>
          <w:szCs w:val="24"/>
        </w:rPr>
        <w:t xml:space="preserve">palgatõusuks </w:t>
      </w:r>
      <w:r w:rsidR="00924C20" w:rsidRPr="007643EC">
        <w:rPr>
          <w:szCs w:val="24"/>
        </w:rPr>
        <w:t xml:space="preserve">riigi eelarvest. </w:t>
      </w:r>
      <w:r w:rsidR="00AB3326" w:rsidRPr="007643EC">
        <w:rPr>
          <w:szCs w:val="24"/>
        </w:rPr>
        <w:t xml:space="preserve">Kohalikud omavalitsused </w:t>
      </w:r>
      <w:r w:rsidR="00924C20" w:rsidRPr="007643EC">
        <w:rPr>
          <w:szCs w:val="24"/>
        </w:rPr>
        <w:t xml:space="preserve">panustavad oma eelarvetest lisavahendeid, et </w:t>
      </w:r>
      <w:r w:rsidR="00AB3326" w:rsidRPr="007643EC">
        <w:rPr>
          <w:szCs w:val="24"/>
        </w:rPr>
        <w:t xml:space="preserve">tagada konkurentsivõimeline </w:t>
      </w:r>
      <w:r w:rsidR="00924C20" w:rsidRPr="007643EC">
        <w:rPr>
          <w:szCs w:val="24"/>
        </w:rPr>
        <w:t>palgatase;</w:t>
      </w:r>
    </w:p>
    <w:p w:rsidR="00924C20" w:rsidRPr="007643EC" w:rsidRDefault="00924C20" w:rsidP="007643EC">
      <w:pPr>
        <w:pStyle w:val="Loendilik"/>
        <w:numPr>
          <w:ilvl w:val="0"/>
          <w:numId w:val="2"/>
        </w:numPr>
        <w:jc w:val="both"/>
        <w:rPr>
          <w:szCs w:val="24"/>
        </w:rPr>
      </w:pPr>
      <w:r w:rsidRPr="007643EC">
        <w:rPr>
          <w:szCs w:val="24"/>
        </w:rPr>
        <w:t>Riigi eelarve eraldised tegevuskulude toetuseks suurenevad. Näiteks toetused sotsiaalseteks garantiideks, teede hoolduseks ja mitmesuguste</w:t>
      </w:r>
      <w:r w:rsidR="004600A9" w:rsidRPr="007643EC">
        <w:rPr>
          <w:szCs w:val="24"/>
        </w:rPr>
        <w:t>ks</w:t>
      </w:r>
      <w:r w:rsidRPr="007643EC">
        <w:rPr>
          <w:szCs w:val="24"/>
        </w:rPr>
        <w:t xml:space="preserve"> projektitoetuste</w:t>
      </w:r>
      <w:r w:rsidR="004600A9" w:rsidRPr="007643EC">
        <w:rPr>
          <w:szCs w:val="24"/>
        </w:rPr>
        <w:t>ks</w:t>
      </w:r>
      <w:r w:rsidRPr="007643EC">
        <w:rPr>
          <w:szCs w:val="24"/>
        </w:rPr>
        <w:t>;</w:t>
      </w:r>
    </w:p>
    <w:p w:rsidR="00924C20" w:rsidRPr="007643EC" w:rsidRDefault="00AB3326" w:rsidP="007643EC">
      <w:pPr>
        <w:pStyle w:val="Loendilik"/>
        <w:numPr>
          <w:ilvl w:val="0"/>
          <w:numId w:val="2"/>
        </w:numPr>
        <w:jc w:val="both"/>
        <w:rPr>
          <w:szCs w:val="24"/>
        </w:rPr>
      </w:pPr>
      <w:r w:rsidRPr="007643EC">
        <w:rPr>
          <w:szCs w:val="24"/>
        </w:rPr>
        <w:t>Kohaliku omavalitsuse</w:t>
      </w:r>
      <w:r w:rsidR="00924C20" w:rsidRPr="007643EC">
        <w:rPr>
          <w:szCs w:val="24"/>
        </w:rPr>
        <w:t xml:space="preserve"> enda otsused – eelarvetasakaalu hoidmiseks suurendatakse ka teiste valdkondade alaeelarveid;</w:t>
      </w:r>
    </w:p>
    <w:p w:rsidR="00924C20" w:rsidRPr="007643EC" w:rsidRDefault="00924C20" w:rsidP="007643EC">
      <w:pPr>
        <w:pStyle w:val="Loendilik"/>
        <w:numPr>
          <w:ilvl w:val="0"/>
          <w:numId w:val="2"/>
        </w:numPr>
        <w:jc w:val="both"/>
        <w:rPr>
          <w:szCs w:val="24"/>
        </w:rPr>
      </w:pPr>
      <w:r w:rsidRPr="007643EC">
        <w:rPr>
          <w:szCs w:val="24"/>
        </w:rPr>
        <w:t xml:space="preserve">Üleüldine hindade (THI) tõus, mis suurendab </w:t>
      </w:r>
      <w:r w:rsidR="00AB3326" w:rsidRPr="007643EC">
        <w:rPr>
          <w:szCs w:val="24"/>
        </w:rPr>
        <w:t>kohalike omavalitsuste</w:t>
      </w:r>
      <w:r w:rsidRPr="007643EC">
        <w:rPr>
          <w:szCs w:val="24"/>
        </w:rPr>
        <w:t xml:space="preserve"> müüdavate kaupade ja teenuste maksumusi</w:t>
      </w:r>
      <w:r w:rsidR="004600A9" w:rsidRPr="007643EC">
        <w:rPr>
          <w:szCs w:val="24"/>
        </w:rPr>
        <w:t>.</w:t>
      </w:r>
    </w:p>
    <w:p w:rsidR="00924C20" w:rsidRPr="007643EC" w:rsidRDefault="00AB3326" w:rsidP="007643EC">
      <w:pPr>
        <w:spacing w:line="276" w:lineRule="auto"/>
        <w:jc w:val="both"/>
        <w:rPr>
          <w:lang w:val="et-EE"/>
        </w:rPr>
      </w:pPr>
      <w:r w:rsidRPr="007643EC">
        <w:rPr>
          <w:lang w:val="et-EE"/>
        </w:rPr>
        <w:t>Nimetatud</w:t>
      </w:r>
      <w:r w:rsidR="00924C20" w:rsidRPr="007643EC">
        <w:rPr>
          <w:lang w:val="et-EE"/>
        </w:rPr>
        <w:t xml:space="preserve"> põhjused on peamised, mille pärast on kavandatud </w:t>
      </w:r>
      <w:r w:rsidRPr="007643EC">
        <w:rPr>
          <w:lang w:val="et-EE"/>
        </w:rPr>
        <w:t xml:space="preserve">Viru-Nigula valla </w:t>
      </w:r>
      <w:r w:rsidR="00924C20" w:rsidRPr="007643EC">
        <w:rPr>
          <w:lang w:val="et-EE"/>
        </w:rPr>
        <w:t>põhitegevuse kulude kasvu eelarvestrateegia perioodil.</w:t>
      </w:r>
    </w:p>
    <w:p w:rsidR="004600A9" w:rsidRPr="007643EC" w:rsidRDefault="004600A9" w:rsidP="007643EC">
      <w:pPr>
        <w:spacing w:line="276" w:lineRule="auto"/>
        <w:jc w:val="both"/>
        <w:rPr>
          <w:lang w:val="et-EE"/>
        </w:rPr>
      </w:pPr>
    </w:p>
    <w:p w:rsidR="00924C20" w:rsidRPr="007643EC" w:rsidRDefault="00924C20" w:rsidP="007643EC">
      <w:pPr>
        <w:spacing w:line="276" w:lineRule="auto"/>
        <w:jc w:val="both"/>
        <w:rPr>
          <w:lang w:val="et-EE"/>
        </w:rPr>
      </w:pPr>
      <w:r w:rsidRPr="007643EC">
        <w:rPr>
          <w:lang w:val="et-EE"/>
        </w:rPr>
        <w:t>Põhitegevuse kulude kärpimise võimalused</w:t>
      </w:r>
      <w:r w:rsidR="004600A9" w:rsidRPr="007643EC">
        <w:rPr>
          <w:lang w:val="et-EE"/>
        </w:rPr>
        <w:t xml:space="preserve"> on järgmised</w:t>
      </w:r>
      <w:r w:rsidRPr="007643EC">
        <w:rPr>
          <w:lang w:val="et-EE"/>
        </w:rPr>
        <w:t>:</w:t>
      </w:r>
    </w:p>
    <w:p w:rsidR="00924C20" w:rsidRPr="007643EC" w:rsidRDefault="00AB3326" w:rsidP="007643EC">
      <w:pPr>
        <w:pStyle w:val="Loendilik"/>
        <w:numPr>
          <w:ilvl w:val="0"/>
          <w:numId w:val="2"/>
        </w:numPr>
        <w:jc w:val="both"/>
        <w:rPr>
          <w:szCs w:val="24"/>
        </w:rPr>
      </w:pPr>
      <w:r w:rsidRPr="007643EC">
        <w:rPr>
          <w:szCs w:val="24"/>
        </w:rPr>
        <w:t>Ü</w:t>
      </w:r>
      <w:r w:rsidR="00924C20" w:rsidRPr="007643EC">
        <w:rPr>
          <w:szCs w:val="24"/>
        </w:rPr>
        <w:t xml:space="preserve">hinemise tulemusel optimeerida </w:t>
      </w:r>
      <w:r w:rsidRPr="007643EC">
        <w:rPr>
          <w:szCs w:val="24"/>
        </w:rPr>
        <w:t xml:space="preserve">valla </w:t>
      </w:r>
      <w:r w:rsidR="00924C20" w:rsidRPr="007643EC">
        <w:rPr>
          <w:szCs w:val="24"/>
        </w:rPr>
        <w:t>halduskulusid;</w:t>
      </w:r>
    </w:p>
    <w:p w:rsidR="00924C20" w:rsidRPr="007643EC" w:rsidRDefault="00AB3326" w:rsidP="007643EC">
      <w:pPr>
        <w:pStyle w:val="Loendilik"/>
        <w:numPr>
          <w:ilvl w:val="0"/>
          <w:numId w:val="2"/>
        </w:numPr>
        <w:jc w:val="both"/>
        <w:rPr>
          <w:szCs w:val="24"/>
        </w:rPr>
      </w:pPr>
      <w:r w:rsidRPr="007643EC">
        <w:rPr>
          <w:szCs w:val="24"/>
        </w:rPr>
        <w:t>Ü</w:t>
      </w:r>
      <w:r w:rsidR="00924C20" w:rsidRPr="007643EC">
        <w:rPr>
          <w:szCs w:val="24"/>
        </w:rPr>
        <w:t>hinemise tulemusel saavutada kaupade ja teenuste ostmisel suuremad mahud, mis annaksid võimaluse hangetel saada soodsamad hinnad;</w:t>
      </w:r>
    </w:p>
    <w:p w:rsidR="00D77C32" w:rsidRPr="007643EC" w:rsidRDefault="00AB3326" w:rsidP="007643EC">
      <w:pPr>
        <w:pStyle w:val="Loendilik"/>
        <w:numPr>
          <w:ilvl w:val="0"/>
          <w:numId w:val="2"/>
        </w:numPr>
        <w:jc w:val="both"/>
        <w:rPr>
          <w:szCs w:val="24"/>
        </w:rPr>
      </w:pPr>
      <w:r w:rsidRPr="007643EC">
        <w:rPr>
          <w:szCs w:val="24"/>
        </w:rPr>
        <w:t>O</w:t>
      </w:r>
      <w:r w:rsidR="00924C20" w:rsidRPr="007643EC">
        <w:rPr>
          <w:szCs w:val="24"/>
        </w:rPr>
        <w:t>ptimeerida kõikides valdkondade struktuurid</w:t>
      </w:r>
      <w:r w:rsidR="00081049" w:rsidRPr="007643EC">
        <w:rPr>
          <w:szCs w:val="24"/>
        </w:rPr>
        <w:t>;</w:t>
      </w:r>
      <w:r w:rsidR="00D77C32" w:rsidRPr="007643EC">
        <w:rPr>
          <w:szCs w:val="24"/>
        </w:rPr>
        <w:t xml:space="preserve"> </w:t>
      </w:r>
    </w:p>
    <w:p w:rsidR="00924C20" w:rsidRPr="007643EC" w:rsidRDefault="00AB3326" w:rsidP="007643EC">
      <w:pPr>
        <w:pStyle w:val="Loendilik"/>
        <w:numPr>
          <w:ilvl w:val="0"/>
          <w:numId w:val="2"/>
        </w:numPr>
        <w:jc w:val="both"/>
        <w:rPr>
          <w:szCs w:val="24"/>
        </w:rPr>
      </w:pPr>
      <w:r w:rsidRPr="007643EC">
        <w:rPr>
          <w:szCs w:val="24"/>
        </w:rPr>
        <w:t>O</w:t>
      </w:r>
      <w:r w:rsidR="00D77C32" w:rsidRPr="007643EC">
        <w:rPr>
          <w:szCs w:val="24"/>
        </w:rPr>
        <w:t>ptimeerida</w:t>
      </w:r>
      <w:r w:rsidR="00924C20" w:rsidRPr="007643EC">
        <w:rPr>
          <w:szCs w:val="24"/>
        </w:rPr>
        <w:t xml:space="preserve"> tari</w:t>
      </w:r>
      <w:r w:rsidR="00D77C32" w:rsidRPr="007643EC">
        <w:rPr>
          <w:szCs w:val="24"/>
        </w:rPr>
        <w:t>stu</w:t>
      </w:r>
      <w:r w:rsidRPr="007643EC">
        <w:rPr>
          <w:szCs w:val="24"/>
        </w:rPr>
        <w:t xml:space="preserve"> </w:t>
      </w:r>
      <w:r w:rsidR="00081049" w:rsidRPr="007643EC">
        <w:rPr>
          <w:szCs w:val="24"/>
        </w:rPr>
        <w:t xml:space="preserve">ülalpidamise </w:t>
      </w:r>
      <w:r w:rsidRPr="007643EC">
        <w:rPr>
          <w:szCs w:val="24"/>
        </w:rPr>
        <w:t>kulusid</w:t>
      </w:r>
      <w:r w:rsidR="00081049" w:rsidRPr="007643EC">
        <w:rPr>
          <w:szCs w:val="24"/>
        </w:rPr>
        <w:t xml:space="preserve"> ja vabaneda mittevajalikest varadest</w:t>
      </w:r>
      <w:r w:rsidR="00924C20" w:rsidRPr="007643EC">
        <w:rPr>
          <w:szCs w:val="24"/>
        </w:rPr>
        <w:t>;</w:t>
      </w:r>
    </w:p>
    <w:p w:rsidR="00D77C32" w:rsidRPr="009143F4" w:rsidRDefault="00081049" w:rsidP="007643EC">
      <w:pPr>
        <w:pStyle w:val="Loendilik"/>
        <w:numPr>
          <w:ilvl w:val="0"/>
          <w:numId w:val="2"/>
        </w:numPr>
        <w:jc w:val="both"/>
        <w:rPr>
          <w:szCs w:val="24"/>
        </w:rPr>
      </w:pPr>
      <w:r w:rsidRPr="007643EC">
        <w:rPr>
          <w:szCs w:val="24"/>
        </w:rPr>
        <w:t>D</w:t>
      </w:r>
      <w:r w:rsidR="00D77C32" w:rsidRPr="007643EC">
        <w:rPr>
          <w:szCs w:val="24"/>
        </w:rPr>
        <w:t xml:space="preserve">elegeerida vajadusel </w:t>
      </w:r>
      <w:r w:rsidR="00D77C32" w:rsidRPr="009143F4">
        <w:rPr>
          <w:szCs w:val="24"/>
        </w:rPr>
        <w:t>tegevused valla sõltuvatele üksustele;</w:t>
      </w:r>
    </w:p>
    <w:p w:rsidR="00D77C32" w:rsidRPr="009143F4" w:rsidRDefault="00081049" w:rsidP="007643EC">
      <w:pPr>
        <w:pStyle w:val="Loendilik"/>
        <w:numPr>
          <w:ilvl w:val="0"/>
          <w:numId w:val="2"/>
        </w:numPr>
        <w:jc w:val="both"/>
        <w:rPr>
          <w:szCs w:val="24"/>
        </w:rPr>
      </w:pPr>
      <w:r w:rsidRPr="009143F4">
        <w:rPr>
          <w:szCs w:val="24"/>
        </w:rPr>
        <w:t>K</w:t>
      </w:r>
      <w:r w:rsidR="00D77C32" w:rsidRPr="009143F4">
        <w:rPr>
          <w:szCs w:val="24"/>
        </w:rPr>
        <w:t xml:space="preserve">aasata </w:t>
      </w:r>
      <w:r w:rsidRPr="009143F4">
        <w:rPr>
          <w:szCs w:val="24"/>
        </w:rPr>
        <w:t xml:space="preserve">tegevustesse </w:t>
      </w:r>
      <w:r w:rsidR="00D77C32" w:rsidRPr="009143F4">
        <w:rPr>
          <w:szCs w:val="24"/>
        </w:rPr>
        <w:t>kolmandat sektorit;</w:t>
      </w:r>
    </w:p>
    <w:p w:rsidR="00924C20" w:rsidRPr="009143F4" w:rsidRDefault="00081049" w:rsidP="007643EC">
      <w:pPr>
        <w:pStyle w:val="Loendilik"/>
        <w:numPr>
          <w:ilvl w:val="0"/>
          <w:numId w:val="2"/>
        </w:numPr>
        <w:jc w:val="both"/>
        <w:rPr>
          <w:szCs w:val="24"/>
        </w:rPr>
      </w:pPr>
      <w:r w:rsidRPr="009143F4">
        <w:rPr>
          <w:szCs w:val="24"/>
        </w:rPr>
        <w:t>O</w:t>
      </w:r>
      <w:r w:rsidR="00924C20" w:rsidRPr="009143F4">
        <w:rPr>
          <w:szCs w:val="24"/>
        </w:rPr>
        <w:t>ptimeerida juhtimis</w:t>
      </w:r>
      <w:r w:rsidR="00D77C32" w:rsidRPr="009143F4">
        <w:rPr>
          <w:szCs w:val="24"/>
        </w:rPr>
        <w:t>t</w:t>
      </w:r>
      <w:r w:rsidR="003B62CC" w:rsidRPr="009143F4">
        <w:rPr>
          <w:szCs w:val="24"/>
        </w:rPr>
        <w:t>, tõsta</w:t>
      </w:r>
      <w:r w:rsidRPr="009143F4">
        <w:rPr>
          <w:szCs w:val="24"/>
        </w:rPr>
        <w:t xml:space="preserve"> töötajate </w:t>
      </w:r>
      <w:r w:rsidR="00D77C32" w:rsidRPr="009143F4">
        <w:rPr>
          <w:szCs w:val="24"/>
        </w:rPr>
        <w:t>motivatsiooni</w:t>
      </w:r>
      <w:r w:rsidRPr="009143F4">
        <w:rPr>
          <w:szCs w:val="24"/>
        </w:rPr>
        <w:t xml:space="preserve"> ja pädevusi, võimekust teha tööd produktiivsemalt</w:t>
      </w:r>
      <w:r w:rsidR="004600A9" w:rsidRPr="009143F4">
        <w:rPr>
          <w:szCs w:val="24"/>
        </w:rPr>
        <w:t>.</w:t>
      </w:r>
    </w:p>
    <w:p w:rsidR="004600A9" w:rsidRPr="00D06485" w:rsidRDefault="00924C20" w:rsidP="00D06485">
      <w:pPr>
        <w:spacing w:line="276" w:lineRule="auto"/>
        <w:jc w:val="both"/>
        <w:rPr>
          <w:lang w:val="et-EE"/>
        </w:rPr>
      </w:pPr>
      <w:r w:rsidRPr="007643EC">
        <w:rPr>
          <w:lang w:val="et-EE"/>
        </w:rPr>
        <w:t xml:space="preserve">Eesmärgid põhitegevuse kulude planeerimisel: </w:t>
      </w:r>
    </w:p>
    <w:p w:rsidR="00924C20" w:rsidRPr="00CA7CA9" w:rsidRDefault="004600A9" w:rsidP="00CA7CA9">
      <w:pPr>
        <w:pStyle w:val="Loendilik"/>
        <w:numPr>
          <w:ilvl w:val="0"/>
          <w:numId w:val="2"/>
        </w:numPr>
        <w:jc w:val="both"/>
        <w:rPr>
          <w:szCs w:val="24"/>
        </w:rPr>
      </w:pPr>
      <w:r w:rsidRPr="00CA7CA9">
        <w:rPr>
          <w:szCs w:val="24"/>
        </w:rPr>
        <w:t xml:space="preserve">Põhitegevuse kulude </w:t>
      </w:r>
      <w:r w:rsidR="00924C20" w:rsidRPr="00CA7CA9">
        <w:rPr>
          <w:szCs w:val="24"/>
        </w:rPr>
        <w:t>kasv peab jääma väiksemaks põhitegevuse kasvu tempost;</w:t>
      </w:r>
    </w:p>
    <w:p w:rsidR="00924C20" w:rsidRPr="00CA7CA9" w:rsidRDefault="00006B5C" w:rsidP="00CA7CA9">
      <w:pPr>
        <w:pStyle w:val="Loendilik"/>
        <w:numPr>
          <w:ilvl w:val="0"/>
          <w:numId w:val="2"/>
        </w:numPr>
        <w:jc w:val="both"/>
        <w:rPr>
          <w:szCs w:val="24"/>
        </w:rPr>
      </w:pPr>
      <w:r w:rsidRPr="00CA7CA9">
        <w:rPr>
          <w:szCs w:val="24"/>
        </w:rPr>
        <w:t>M</w:t>
      </w:r>
      <w:r w:rsidR="00924C20" w:rsidRPr="00CA7CA9">
        <w:rPr>
          <w:szCs w:val="24"/>
        </w:rPr>
        <w:t xml:space="preserve">unitsipaaltöötajatele tagada eelarvestrateegia perioodil võrreldav palgakasv </w:t>
      </w:r>
      <w:r w:rsidR="000A3EC6" w:rsidRPr="00CA7CA9">
        <w:rPr>
          <w:szCs w:val="24"/>
        </w:rPr>
        <w:t xml:space="preserve">Lääne-Viru </w:t>
      </w:r>
      <w:r w:rsidR="00924C20" w:rsidRPr="00CA7CA9">
        <w:rPr>
          <w:szCs w:val="24"/>
        </w:rPr>
        <w:t>maakonna</w:t>
      </w:r>
      <w:r w:rsidR="000A3EC6" w:rsidRPr="00CA7CA9">
        <w:rPr>
          <w:szCs w:val="24"/>
        </w:rPr>
        <w:t xml:space="preserve"> keskmise palgakasvuga</w:t>
      </w:r>
      <w:r w:rsidR="00081049" w:rsidRPr="00CA7CA9">
        <w:rPr>
          <w:szCs w:val="24"/>
        </w:rPr>
        <w:t>;</w:t>
      </w:r>
    </w:p>
    <w:p w:rsidR="00924C20" w:rsidRPr="00CA7CA9" w:rsidRDefault="00924C20" w:rsidP="00CA7CA9">
      <w:pPr>
        <w:pStyle w:val="Loendilik"/>
        <w:numPr>
          <w:ilvl w:val="0"/>
          <w:numId w:val="2"/>
        </w:numPr>
        <w:jc w:val="both"/>
        <w:rPr>
          <w:szCs w:val="24"/>
        </w:rPr>
      </w:pPr>
      <w:r w:rsidRPr="00CA7CA9">
        <w:rPr>
          <w:szCs w:val="24"/>
        </w:rPr>
        <w:lastRenderedPageBreak/>
        <w:t>Kulude vähendamiseks vähendada juhtimiskulusid, vähendada majandamiskulus</w:t>
      </w:r>
      <w:r w:rsidR="00AB272F">
        <w:rPr>
          <w:szCs w:val="24"/>
        </w:rPr>
        <w:t>id, ühtlustada toetused, maksud</w:t>
      </w:r>
      <w:r w:rsidRPr="00CA7CA9">
        <w:rPr>
          <w:szCs w:val="24"/>
        </w:rPr>
        <w:t xml:space="preserve"> jne.</w:t>
      </w:r>
    </w:p>
    <w:p w:rsidR="00081049" w:rsidRPr="00CA7CA9" w:rsidRDefault="00081049" w:rsidP="00CA7CA9">
      <w:pPr>
        <w:spacing w:line="276" w:lineRule="auto"/>
        <w:jc w:val="both"/>
        <w:rPr>
          <w:lang w:val="et-EE"/>
        </w:rPr>
      </w:pPr>
      <w:r w:rsidRPr="00CA7CA9">
        <w:rPr>
          <w:lang w:val="et-EE"/>
        </w:rPr>
        <w:t xml:space="preserve">Põhitegevuse kulude struktuuri </w:t>
      </w:r>
      <w:r w:rsidR="009143F4">
        <w:rPr>
          <w:lang w:val="et-EE"/>
        </w:rPr>
        <w:t xml:space="preserve">prognoosi </w:t>
      </w:r>
      <w:r w:rsidRPr="00CA7CA9">
        <w:rPr>
          <w:lang w:val="et-EE"/>
        </w:rPr>
        <w:t>2019. aastal iseloomustab joonis 4.</w:t>
      </w:r>
    </w:p>
    <w:p w:rsidR="00081049" w:rsidRDefault="00081049" w:rsidP="000A3EC6">
      <w:pPr>
        <w:rPr>
          <w:rFonts w:ascii="Trebuchet MS" w:hAnsi="Trebuchet MS"/>
          <w:b/>
          <w:lang w:val="et-EE"/>
        </w:rPr>
      </w:pPr>
    </w:p>
    <w:p w:rsidR="00D77C32" w:rsidRDefault="00D77C32" w:rsidP="00081049">
      <w:pPr>
        <w:jc w:val="center"/>
        <w:rPr>
          <w:rFonts w:ascii="Trebuchet MS" w:hAnsi="Trebuchet MS"/>
        </w:rPr>
      </w:pPr>
      <w:r>
        <w:rPr>
          <w:noProof/>
          <w:lang w:val="et-EE" w:eastAsia="et-EE"/>
        </w:rPr>
        <w:drawing>
          <wp:inline distT="0" distB="0" distL="0" distR="0">
            <wp:extent cx="4467225" cy="2571750"/>
            <wp:effectExtent l="0" t="0" r="0" b="0"/>
            <wp:docPr id="9" name="Diagramm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81049" w:rsidRDefault="00081049" w:rsidP="000A3EC6">
      <w:pPr>
        <w:rPr>
          <w:rFonts w:ascii="Trebuchet MS" w:hAnsi="Trebuchet MS"/>
        </w:rPr>
      </w:pPr>
    </w:p>
    <w:p w:rsidR="00081049" w:rsidRPr="00CA7CA9" w:rsidRDefault="00081049" w:rsidP="00081049">
      <w:pPr>
        <w:rPr>
          <w:b/>
          <w:sz w:val="20"/>
          <w:szCs w:val="20"/>
          <w:lang w:val="et-EE"/>
        </w:rPr>
      </w:pPr>
      <w:r w:rsidRPr="00CA7CA9">
        <w:rPr>
          <w:b/>
          <w:sz w:val="20"/>
          <w:szCs w:val="20"/>
          <w:lang w:val="et-EE"/>
        </w:rPr>
        <w:t>Joonis 4</w:t>
      </w:r>
      <w:r w:rsidR="00CA7CA9">
        <w:rPr>
          <w:b/>
          <w:sz w:val="20"/>
          <w:szCs w:val="20"/>
          <w:lang w:val="et-EE"/>
        </w:rPr>
        <w:t>.</w:t>
      </w:r>
      <w:r w:rsidRPr="00CA7CA9">
        <w:rPr>
          <w:b/>
          <w:sz w:val="20"/>
          <w:szCs w:val="20"/>
          <w:lang w:val="et-EE"/>
        </w:rPr>
        <w:t xml:space="preserve"> Põhitegevuse kulude struktuur 2019. aastal</w:t>
      </w:r>
      <w:r w:rsidR="00EC46DF" w:rsidRPr="00CA7CA9">
        <w:rPr>
          <w:b/>
          <w:sz w:val="20"/>
          <w:szCs w:val="20"/>
          <w:lang w:val="et-EE"/>
        </w:rPr>
        <w:t>.</w:t>
      </w:r>
    </w:p>
    <w:p w:rsidR="00081049" w:rsidRPr="00EC46DF" w:rsidRDefault="00081049" w:rsidP="000A3EC6">
      <w:pPr>
        <w:rPr>
          <w:rFonts w:ascii="Verdana" w:hAnsi="Verdana"/>
          <w:sz w:val="20"/>
          <w:szCs w:val="20"/>
          <w:lang w:val="de-DE"/>
        </w:rPr>
      </w:pPr>
    </w:p>
    <w:p w:rsidR="00D77C32" w:rsidRPr="003D4C2B" w:rsidRDefault="00081049" w:rsidP="00393E71">
      <w:pPr>
        <w:spacing w:line="276" w:lineRule="auto"/>
        <w:jc w:val="both"/>
        <w:rPr>
          <w:rFonts w:ascii="Trebuchet MS" w:hAnsi="Trebuchet MS"/>
          <w:lang w:val="et-EE"/>
        </w:rPr>
      </w:pPr>
      <w:r w:rsidRPr="00CA7CA9">
        <w:rPr>
          <w:lang w:val="et-EE"/>
        </w:rPr>
        <w:t>Põhitegevuse kulude s</w:t>
      </w:r>
      <w:r w:rsidR="00D77C32" w:rsidRPr="00CA7CA9">
        <w:rPr>
          <w:lang w:val="et-EE"/>
        </w:rPr>
        <w:t xml:space="preserve">truktuuris on </w:t>
      </w:r>
      <w:r w:rsidRPr="00CA7CA9">
        <w:rPr>
          <w:lang w:val="et-EE"/>
        </w:rPr>
        <w:t xml:space="preserve">kõige suuremad </w:t>
      </w:r>
      <w:r w:rsidR="00D77C32" w:rsidRPr="00CA7CA9">
        <w:rPr>
          <w:lang w:val="et-EE"/>
        </w:rPr>
        <w:t>personalikulud – üle 60%, majandamiskulud moodustavad ca 1/3 kõikidest põhitegevuse kuludest. Teised kulud on väiksema osatähtsusega. Selline jaotus kehtib ka järgmistel aastatel.</w:t>
      </w:r>
    </w:p>
    <w:p w:rsidR="00924C20" w:rsidRPr="00CA7CA9" w:rsidRDefault="005D7C45" w:rsidP="00081049">
      <w:pPr>
        <w:pStyle w:val="Pealkiri2"/>
        <w:rPr>
          <w:rFonts w:ascii="Times New Roman" w:hAnsi="Times New Roman" w:cs="Times New Roman"/>
          <w:color w:val="auto"/>
          <w:sz w:val="24"/>
          <w:szCs w:val="24"/>
          <w:lang w:val="es-ES"/>
        </w:rPr>
      </w:pPr>
      <w:bookmarkStart w:id="14" w:name="_Toc521395300"/>
      <w:r w:rsidRPr="00CA7CA9">
        <w:rPr>
          <w:rFonts w:ascii="Times New Roman" w:hAnsi="Times New Roman" w:cs="Times New Roman"/>
          <w:color w:val="auto"/>
          <w:sz w:val="24"/>
          <w:szCs w:val="24"/>
          <w:lang w:val="es-ES"/>
        </w:rPr>
        <w:t>3.3</w:t>
      </w:r>
      <w:r w:rsidR="00893928">
        <w:rPr>
          <w:rFonts w:ascii="Times New Roman" w:hAnsi="Times New Roman" w:cs="Times New Roman"/>
          <w:color w:val="auto"/>
          <w:sz w:val="24"/>
          <w:szCs w:val="24"/>
          <w:lang w:val="es-ES"/>
        </w:rPr>
        <w:t>.</w:t>
      </w:r>
      <w:r w:rsidR="00B7299D" w:rsidRPr="00CA7CA9">
        <w:rPr>
          <w:rFonts w:ascii="Times New Roman" w:hAnsi="Times New Roman" w:cs="Times New Roman"/>
          <w:color w:val="auto"/>
          <w:sz w:val="24"/>
          <w:szCs w:val="24"/>
          <w:lang w:val="es-ES"/>
        </w:rPr>
        <w:t xml:space="preserve"> Investeerimistegevuse eelarveosa</w:t>
      </w:r>
      <w:bookmarkEnd w:id="14"/>
      <w:r w:rsidR="00B7299D" w:rsidRPr="00CA7CA9">
        <w:rPr>
          <w:rFonts w:ascii="Times New Roman" w:hAnsi="Times New Roman" w:cs="Times New Roman"/>
          <w:color w:val="auto"/>
          <w:sz w:val="24"/>
          <w:szCs w:val="24"/>
          <w:lang w:val="es-ES"/>
        </w:rPr>
        <w:t xml:space="preserve"> </w:t>
      </w:r>
    </w:p>
    <w:p w:rsidR="000A3EC6" w:rsidRPr="00CA7CA9" w:rsidRDefault="000A3EC6" w:rsidP="000A3EC6">
      <w:pPr>
        <w:rPr>
          <w:b/>
          <w:lang w:val="et-EE"/>
        </w:rPr>
      </w:pPr>
    </w:p>
    <w:p w:rsidR="00081049" w:rsidRDefault="00E4636B" w:rsidP="000A3EC6">
      <w:pPr>
        <w:rPr>
          <w:lang w:val="et-EE"/>
        </w:rPr>
      </w:pPr>
      <w:r w:rsidRPr="00CA7CA9">
        <w:rPr>
          <w:lang w:val="et-EE"/>
        </w:rPr>
        <w:t xml:space="preserve">Viru-Nigula valla investeerimistegevuse prognoos on toodud tabelis 7. </w:t>
      </w:r>
    </w:p>
    <w:p w:rsidR="0028390A" w:rsidRPr="00CA7CA9" w:rsidRDefault="0028390A" w:rsidP="000A3EC6">
      <w:pPr>
        <w:rPr>
          <w:lang w:val="et-EE"/>
        </w:rPr>
      </w:pPr>
    </w:p>
    <w:tbl>
      <w:tblPr>
        <w:tblW w:w="9346" w:type="dxa"/>
        <w:tblCellMar>
          <w:left w:w="70" w:type="dxa"/>
          <w:right w:w="70" w:type="dxa"/>
        </w:tblCellMar>
        <w:tblLook w:val="04A0" w:firstRow="1" w:lastRow="0" w:firstColumn="1" w:lastColumn="0" w:noHBand="0" w:noVBand="1"/>
      </w:tblPr>
      <w:tblGrid>
        <w:gridCol w:w="2117"/>
        <w:gridCol w:w="1134"/>
        <w:gridCol w:w="1134"/>
        <w:gridCol w:w="992"/>
        <w:gridCol w:w="992"/>
        <w:gridCol w:w="992"/>
        <w:gridCol w:w="993"/>
        <w:gridCol w:w="992"/>
      </w:tblGrid>
      <w:tr w:rsidR="00EC0AFC" w:rsidRPr="00EC0AFC" w:rsidTr="00341EE2">
        <w:trPr>
          <w:trHeight w:val="1095"/>
        </w:trPr>
        <w:tc>
          <w:tcPr>
            <w:tcW w:w="2117" w:type="dxa"/>
            <w:tcBorders>
              <w:top w:val="single" w:sz="8" w:space="0" w:color="000000"/>
              <w:left w:val="single" w:sz="8" w:space="0" w:color="000000"/>
              <w:bottom w:val="single" w:sz="8" w:space="0" w:color="000000"/>
              <w:right w:val="nil"/>
            </w:tcBorders>
            <w:shd w:val="clear" w:color="auto" w:fill="D6E3BC" w:themeFill="accent3" w:themeFillTint="66"/>
            <w:vAlign w:val="bottom"/>
            <w:hideMark/>
          </w:tcPr>
          <w:p w:rsidR="00EC0AFC" w:rsidRPr="00EC0AFC" w:rsidRDefault="00EC0AFC" w:rsidP="00EC0AFC">
            <w:pPr>
              <w:jc w:val="center"/>
              <w:rPr>
                <w:rFonts w:ascii="Arial" w:hAnsi="Arial" w:cs="Arial"/>
                <w:b/>
                <w:bCs/>
                <w:sz w:val="16"/>
                <w:szCs w:val="16"/>
                <w:lang w:val="et-EE" w:eastAsia="et-EE"/>
              </w:rPr>
            </w:pPr>
            <w:r w:rsidRPr="00EC0AFC">
              <w:rPr>
                <w:rFonts w:ascii="Arial" w:hAnsi="Arial" w:cs="Arial"/>
                <w:b/>
                <w:bCs/>
                <w:sz w:val="16"/>
                <w:szCs w:val="16"/>
                <w:lang w:val="et-EE" w:eastAsia="et-EE"/>
              </w:rPr>
              <w:t>Viru - Nigula vald määruse nr... ja kuupäev</w:t>
            </w:r>
          </w:p>
        </w:tc>
        <w:tc>
          <w:tcPr>
            <w:tcW w:w="113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bottom"/>
            <w:hideMark/>
          </w:tcPr>
          <w:p w:rsidR="00EC0AFC" w:rsidRPr="00EC0AFC" w:rsidRDefault="00EC0AFC" w:rsidP="00EC0AFC">
            <w:pPr>
              <w:jc w:val="center"/>
              <w:rPr>
                <w:rFonts w:ascii="Arial" w:hAnsi="Arial" w:cs="Arial"/>
                <w:b/>
                <w:bCs/>
                <w:sz w:val="16"/>
                <w:szCs w:val="16"/>
                <w:lang w:val="et-EE" w:eastAsia="et-EE"/>
              </w:rPr>
            </w:pPr>
            <w:r w:rsidRPr="00EC0AFC">
              <w:rPr>
                <w:rFonts w:ascii="Arial" w:hAnsi="Arial" w:cs="Arial"/>
                <w:b/>
                <w:bCs/>
                <w:sz w:val="16"/>
                <w:szCs w:val="16"/>
                <w:lang w:val="et-EE" w:eastAsia="et-EE"/>
              </w:rPr>
              <w:t>2017 täitmine</w:t>
            </w:r>
          </w:p>
        </w:tc>
        <w:tc>
          <w:tcPr>
            <w:tcW w:w="1134"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EC0AFC" w:rsidRPr="00EC0AFC" w:rsidRDefault="00EC0AFC" w:rsidP="00EC0AFC">
            <w:pPr>
              <w:jc w:val="center"/>
              <w:rPr>
                <w:rFonts w:ascii="Arial" w:hAnsi="Arial" w:cs="Arial"/>
                <w:b/>
                <w:bCs/>
                <w:sz w:val="16"/>
                <w:szCs w:val="16"/>
                <w:lang w:val="et-EE" w:eastAsia="et-EE"/>
              </w:rPr>
            </w:pPr>
            <w:r w:rsidRPr="00EC0AFC">
              <w:rPr>
                <w:rFonts w:ascii="Arial" w:hAnsi="Arial" w:cs="Arial"/>
                <w:b/>
                <w:bCs/>
                <w:sz w:val="16"/>
                <w:szCs w:val="16"/>
                <w:lang w:val="et-EE" w:eastAsia="et-EE"/>
              </w:rPr>
              <w:t>2018 eeldatav täitmine</w:t>
            </w:r>
          </w:p>
        </w:tc>
        <w:tc>
          <w:tcPr>
            <w:tcW w:w="99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EC0AFC" w:rsidRPr="00EC0AFC" w:rsidRDefault="00EC0AFC" w:rsidP="00EC0AFC">
            <w:pPr>
              <w:jc w:val="center"/>
              <w:rPr>
                <w:rFonts w:ascii="Arial" w:hAnsi="Arial" w:cs="Arial"/>
                <w:b/>
                <w:bCs/>
                <w:sz w:val="16"/>
                <w:szCs w:val="16"/>
                <w:lang w:val="et-EE" w:eastAsia="et-EE"/>
              </w:rPr>
            </w:pPr>
            <w:r w:rsidRPr="00EC0AFC">
              <w:rPr>
                <w:rFonts w:ascii="Arial" w:hAnsi="Arial" w:cs="Arial"/>
                <w:b/>
                <w:bCs/>
                <w:sz w:val="16"/>
                <w:szCs w:val="16"/>
                <w:lang w:val="et-EE" w:eastAsia="et-EE"/>
              </w:rPr>
              <w:t xml:space="preserve">2019 eelarve  </w:t>
            </w:r>
          </w:p>
        </w:tc>
        <w:tc>
          <w:tcPr>
            <w:tcW w:w="99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EC0AFC" w:rsidRPr="00EC0AFC" w:rsidRDefault="00EC0AFC" w:rsidP="00EC0AFC">
            <w:pPr>
              <w:jc w:val="center"/>
              <w:rPr>
                <w:rFonts w:ascii="Arial" w:hAnsi="Arial" w:cs="Arial"/>
                <w:b/>
                <w:bCs/>
                <w:sz w:val="16"/>
                <w:szCs w:val="16"/>
                <w:lang w:val="et-EE" w:eastAsia="et-EE"/>
              </w:rPr>
            </w:pPr>
            <w:r w:rsidRPr="00EC0AFC">
              <w:rPr>
                <w:rFonts w:ascii="Arial" w:hAnsi="Arial" w:cs="Arial"/>
                <w:b/>
                <w:bCs/>
                <w:sz w:val="16"/>
                <w:szCs w:val="16"/>
                <w:lang w:val="et-EE" w:eastAsia="et-EE"/>
              </w:rPr>
              <w:t xml:space="preserve">2020 eelarve  </w:t>
            </w:r>
          </w:p>
        </w:tc>
        <w:tc>
          <w:tcPr>
            <w:tcW w:w="99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EC0AFC" w:rsidRPr="00EC0AFC" w:rsidRDefault="00EC0AFC" w:rsidP="00EC0AFC">
            <w:pPr>
              <w:jc w:val="center"/>
              <w:rPr>
                <w:rFonts w:ascii="Arial" w:hAnsi="Arial" w:cs="Arial"/>
                <w:b/>
                <w:bCs/>
                <w:sz w:val="16"/>
                <w:szCs w:val="16"/>
                <w:lang w:val="et-EE" w:eastAsia="et-EE"/>
              </w:rPr>
            </w:pPr>
            <w:r w:rsidRPr="00EC0AFC">
              <w:rPr>
                <w:rFonts w:ascii="Arial" w:hAnsi="Arial" w:cs="Arial"/>
                <w:b/>
                <w:bCs/>
                <w:sz w:val="16"/>
                <w:szCs w:val="16"/>
                <w:lang w:val="et-EE" w:eastAsia="et-EE"/>
              </w:rPr>
              <w:t xml:space="preserve">2021 eelarve  </w:t>
            </w:r>
          </w:p>
        </w:tc>
        <w:tc>
          <w:tcPr>
            <w:tcW w:w="993"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EC0AFC" w:rsidRPr="00EC0AFC" w:rsidRDefault="00EC0AFC" w:rsidP="00EC0AFC">
            <w:pPr>
              <w:jc w:val="center"/>
              <w:rPr>
                <w:rFonts w:ascii="Arial" w:hAnsi="Arial" w:cs="Arial"/>
                <w:b/>
                <w:bCs/>
                <w:sz w:val="16"/>
                <w:szCs w:val="16"/>
                <w:lang w:val="et-EE" w:eastAsia="et-EE"/>
              </w:rPr>
            </w:pPr>
            <w:r w:rsidRPr="00EC0AFC">
              <w:rPr>
                <w:rFonts w:ascii="Arial" w:hAnsi="Arial" w:cs="Arial"/>
                <w:b/>
                <w:bCs/>
                <w:sz w:val="16"/>
                <w:szCs w:val="16"/>
                <w:lang w:val="et-EE" w:eastAsia="et-EE"/>
              </w:rPr>
              <w:t xml:space="preserve">2022 eelarve  </w:t>
            </w:r>
          </w:p>
        </w:tc>
        <w:tc>
          <w:tcPr>
            <w:tcW w:w="992" w:type="dxa"/>
            <w:tcBorders>
              <w:top w:val="single" w:sz="8" w:space="0" w:color="000000"/>
              <w:left w:val="nil"/>
              <w:bottom w:val="single" w:sz="8" w:space="0" w:color="000000"/>
              <w:right w:val="single" w:sz="4" w:space="0" w:color="000000"/>
            </w:tcBorders>
            <w:shd w:val="clear" w:color="auto" w:fill="D6E3BC" w:themeFill="accent3" w:themeFillTint="66"/>
            <w:vAlign w:val="bottom"/>
            <w:hideMark/>
          </w:tcPr>
          <w:p w:rsidR="00EC0AFC" w:rsidRPr="00EC0AFC" w:rsidRDefault="00EC0AFC" w:rsidP="00EC0AFC">
            <w:pPr>
              <w:jc w:val="center"/>
              <w:rPr>
                <w:rFonts w:ascii="Arial" w:hAnsi="Arial" w:cs="Arial"/>
                <w:b/>
                <w:bCs/>
                <w:sz w:val="16"/>
                <w:szCs w:val="16"/>
                <w:lang w:val="et-EE" w:eastAsia="et-EE"/>
              </w:rPr>
            </w:pPr>
            <w:r w:rsidRPr="00EC0AFC">
              <w:rPr>
                <w:rFonts w:ascii="Arial" w:hAnsi="Arial" w:cs="Arial"/>
                <w:b/>
                <w:bCs/>
                <w:sz w:val="16"/>
                <w:szCs w:val="16"/>
                <w:lang w:val="et-EE" w:eastAsia="et-EE"/>
              </w:rPr>
              <w:t xml:space="preserve">2023 eelarve  </w:t>
            </w:r>
          </w:p>
        </w:tc>
      </w:tr>
      <w:tr w:rsidR="00390547" w:rsidRPr="00EC0AFC" w:rsidTr="00244D79">
        <w:trPr>
          <w:trHeight w:val="225"/>
        </w:trPr>
        <w:tc>
          <w:tcPr>
            <w:tcW w:w="2117" w:type="dxa"/>
            <w:tcBorders>
              <w:top w:val="single" w:sz="4" w:space="0" w:color="000000"/>
              <w:left w:val="single" w:sz="8" w:space="0" w:color="000000"/>
              <w:bottom w:val="single" w:sz="4" w:space="0" w:color="000000"/>
              <w:right w:val="nil"/>
            </w:tcBorders>
            <w:shd w:val="clear" w:color="auto" w:fill="FFFFFF" w:themeFill="background1"/>
            <w:vAlign w:val="bottom"/>
            <w:hideMark/>
          </w:tcPr>
          <w:p w:rsidR="00EC0AFC" w:rsidRPr="00EC0AFC" w:rsidRDefault="00EC0AFC" w:rsidP="00EC0AFC">
            <w:pPr>
              <w:rPr>
                <w:rFonts w:ascii="Arial" w:hAnsi="Arial" w:cs="Arial"/>
                <w:b/>
                <w:bCs/>
                <w:sz w:val="16"/>
                <w:szCs w:val="16"/>
                <w:lang w:val="et-EE" w:eastAsia="et-EE"/>
              </w:rPr>
            </w:pPr>
            <w:r w:rsidRPr="00EC0AFC">
              <w:rPr>
                <w:rFonts w:ascii="Arial" w:hAnsi="Arial" w:cs="Arial"/>
                <w:b/>
                <w:bCs/>
                <w:sz w:val="16"/>
                <w:szCs w:val="16"/>
                <w:lang w:val="et-EE" w:eastAsia="et-EE"/>
              </w:rPr>
              <w:t>Investeerimistegevus kokku</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b/>
                <w:bCs/>
                <w:sz w:val="16"/>
                <w:szCs w:val="16"/>
                <w:lang w:val="et-EE" w:eastAsia="et-EE"/>
              </w:rPr>
            </w:pPr>
            <w:r w:rsidRPr="00EC0AFC">
              <w:rPr>
                <w:rFonts w:ascii="Arial" w:hAnsi="Arial" w:cs="Arial"/>
                <w:b/>
                <w:bCs/>
                <w:sz w:val="16"/>
                <w:szCs w:val="16"/>
                <w:lang w:val="et-EE" w:eastAsia="et-EE"/>
              </w:rPr>
              <w:t>-1 046 596</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b/>
                <w:bCs/>
                <w:sz w:val="16"/>
                <w:szCs w:val="16"/>
                <w:lang w:val="et-EE" w:eastAsia="et-EE"/>
              </w:rPr>
            </w:pPr>
            <w:r w:rsidRPr="00EC0AFC">
              <w:rPr>
                <w:rFonts w:ascii="Arial" w:hAnsi="Arial" w:cs="Arial"/>
                <w:b/>
                <w:bCs/>
                <w:sz w:val="16"/>
                <w:szCs w:val="16"/>
                <w:lang w:val="et-EE" w:eastAsia="et-EE"/>
              </w:rPr>
              <w:t>-358 451</w:t>
            </w:r>
          </w:p>
        </w:tc>
        <w:tc>
          <w:tcPr>
            <w:tcW w:w="992" w:type="dxa"/>
            <w:tcBorders>
              <w:top w:val="single" w:sz="4" w:space="0" w:color="auto"/>
              <w:left w:val="nil"/>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b/>
                <w:bCs/>
                <w:sz w:val="16"/>
                <w:szCs w:val="16"/>
                <w:lang w:val="et-EE" w:eastAsia="et-EE"/>
              </w:rPr>
            </w:pPr>
            <w:r w:rsidRPr="00EC0AFC">
              <w:rPr>
                <w:rFonts w:ascii="Arial" w:hAnsi="Arial" w:cs="Arial"/>
                <w:b/>
                <w:bCs/>
                <w:sz w:val="16"/>
                <w:szCs w:val="16"/>
                <w:lang w:val="et-EE" w:eastAsia="et-EE"/>
              </w:rPr>
              <w:t>-1 833 822</w:t>
            </w:r>
          </w:p>
        </w:tc>
        <w:tc>
          <w:tcPr>
            <w:tcW w:w="992" w:type="dxa"/>
            <w:tcBorders>
              <w:top w:val="single" w:sz="4" w:space="0" w:color="auto"/>
              <w:left w:val="nil"/>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b/>
                <w:bCs/>
                <w:sz w:val="16"/>
                <w:szCs w:val="16"/>
                <w:lang w:val="et-EE" w:eastAsia="et-EE"/>
              </w:rPr>
            </w:pPr>
            <w:r w:rsidRPr="00EC0AFC">
              <w:rPr>
                <w:rFonts w:ascii="Arial" w:hAnsi="Arial" w:cs="Arial"/>
                <w:b/>
                <w:bCs/>
                <w:sz w:val="16"/>
                <w:szCs w:val="16"/>
                <w:lang w:val="et-EE" w:eastAsia="et-EE"/>
              </w:rPr>
              <w:t>-594 160</w:t>
            </w:r>
          </w:p>
        </w:tc>
        <w:tc>
          <w:tcPr>
            <w:tcW w:w="992" w:type="dxa"/>
            <w:tcBorders>
              <w:top w:val="single" w:sz="4" w:space="0" w:color="auto"/>
              <w:left w:val="nil"/>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b/>
                <w:bCs/>
                <w:sz w:val="16"/>
                <w:szCs w:val="16"/>
                <w:lang w:val="et-EE" w:eastAsia="et-EE"/>
              </w:rPr>
            </w:pPr>
            <w:r w:rsidRPr="00EC0AFC">
              <w:rPr>
                <w:rFonts w:ascii="Arial" w:hAnsi="Arial" w:cs="Arial"/>
                <w:b/>
                <w:bCs/>
                <w:sz w:val="16"/>
                <w:szCs w:val="16"/>
                <w:lang w:val="et-EE" w:eastAsia="et-EE"/>
              </w:rPr>
              <w:t>-350 250</w:t>
            </w:r>
          </w:p>
        </w:tc>
        <w:tc>
          <w:tcPr>
            <w:tcW w:w="993" w:type="dxa"/>
            <w:tcBorders>
              <w:top w:val="single" w:sz="4" w:space="0" w:color="auto"/>
              <w:left w:val="nil"/>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b/>
                <w:bCs/>
                <w:sz w:val="16"/>
                <w:szCs w:val="16"/>
                <w:lang w:val="et-EE" w:eastAsia="et-EE"/>
              </w:rPr>
            </w:pPr>
            <w:r w:rsidRPr="00EC0AFC">
              <w:rPr>
                <w:rFonts w:ascii="Arial" w:hAnsi="Arial" w:cs="Arial"/>
                <w:b/>
                <w:bCs/>
                <w:sz w:val="16"/>
                <w:szCs w:val="16"/>
                <w:lang w:val="et-EE" w:eastAsia="et-EE"/>
              </w:rPr>
              <w:t>-306 535</w:t>
            </w:r>
          </w:p>
        </w:tc>
        <w:tc>
          <w:tcPr>
            <w:tcW w:w="992" w:type="dxa"/>
            <w:tcBorders>
              <w:top w:val="single" w:sz="4" w:space="0" w:color="000000"/>
              <w:left w:val="nil"/>
              <w:bottom w:val="single" w:sz="4" w:space="0" w:color="000000"/>
              <w:right w:val="single" w:sz="8" w:space="0" w:color="000000"/>
            </w:tcBorders>
            <w:shd w:val="clear" w:color="auto" w:fill="FFFFFF" w:themeFill="background1"/>
            <w:vAlign w:val="bottom"/>
            <w:hideMark/>
          </w:tcPr>
          <w:p w:rsidR="00EC0AFC" w:rsidRPr="00EC0AFC" w:rsidRDefault="00EC0AFC" w:rsidP="00EC0AFC">
            <w:pPr>
              <w:jc w:val="right"/>
              <w:rPr>
                <w:rFonts w:ascii="Arial" w:hAnsi="Arial" w:cs="Arial"/>
                <w:b/>
                <w:bCs/>
                <w:sz w:val="16"/>
                <w:szCs w:val="16"/>
                <w:lang w:val="et-EE" w:eastAsia="et-EE"/>
              </w:rPr>
            </w:pPr>
            <w:r w:rsidRPr="00EC0AFC">
              <w:rPr>
                <w:rFonts w:ascii="Arial" w:hAnsi="Arial" w:cs="Arial"/>
                <w:b/>
                <w:bCs/>
                <w:sz w:val="16"/>
                <w:szCs w:val="16"/>
                <w:lang w:val="et-EE" w:eastAsia="et-EE"/>
              </w:rPr>
              <w:t>-115 000</w:t>
            </w:r>
          </w:p>
        </w:tc>
      </w:tr>
      <w:tr w:rsidR="00390547" w:rsidRPr="00EC0AFC" w:rsidTr="00244D79">
        <w:trPr>
          <w:trHeight w:val="255"/>
        </w:trPr>
        <w:tc>
          <w:tcPr>
            <w:tcW w:w="2117" w:type="dxa"/>
            <w:tcBorders>
              <w:top w:val="nil"/>
              <w:left w:val="single" w:sz="8" w:space="0" w:color="000000"/>
              <w:bottom w:val="single" w:sz="4" w:space="0" w:color="000000"/>
              <w:right w:val="nil"/>
            </w:tcBorders>
            <w:shd w:val="clear" w:color="auto" w:fill="FFFFFF" w:themeFill="background1"/>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xml:space="preserve">    Põhivara müük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29 822</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60 000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100 000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100 000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50 000</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50 000</w:t>
            </w:r>
          </w:p>
        </w:tc>
        <w:tc>
          <w:tcPr>
            <w:tcW w:w="992" w:type="dxa"/>
            <w:tcBorders>
              <w:top w:val="nil"/>
              <w:left w:val="nil"/>
              <w:bottom w:val="single" w:sz="4" w:space="0" w:color="000000"/>
              <w:right w:val="single" w:sz="4" w:space="0" w:color="000000"/>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50 000</w:t>
            </w:r>
          </w:p>
        </w:tc>
      </w:tr>
      <w:tr w:rsidR="00390547" w:rsidRPr="00EC0AFC" w:rsidTr="00244D79">
        <w:trPr>
          <w:trHeight w:val="255"/>
        </w:trPr>
        <w:tc>
          <w:tcPr>
            <w:tcW w:w="2117" w:type="dxa"/>
            <w:tcBorders>
              <w:top w:val="nil"/>
              <w:left w:val="single" w:sz="8" w:space="0" w:color="000000"/>
              <w:bottom w:val="single" w:sz="4" w:space="0" w:color="000000"/>
              <w:right w:val="nil"/>
            </w:tcBorders>
            <w:shd w:val="clear" w:color="auto" w:fill="FFFFFF" w:themeFill="background1"/>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xml:space="preserve">    Põhivara soetus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-1 072 123</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-2 000 097</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-4 114 692</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-1 300 400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-1 582 000</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-1 599 566</w:t>
            </w:r>
          </w:p>
        </w:tc>
        <w:tc>
          <w:tcPr>
            <w:tcW w:w="992" w:type="dxa"/>
            <w:tcBorders>
              <w:top w:val="nil"/>
              <w:left w:val="nil"/>
              <w:bottom w:val="single" w:sz="4" w:space="0" w:color="000000"/>
              <w:right w:val="single" w:sz="8" w:space="0" w:color="000000"/>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-1 175 000</w:t>
            </w:r>
          </w:p>
        </w:tc>
      </w:tr>
      <w:tr w:rsidR="00390547" w:rsidRPr="00EC0AFC" w:rsidTr="00244D79">
        <w:trPr>
          <w:trHeight w:val="225"/>
        </w:trPr>
        <w:tc>
          <w:tcPr>
            <w:tcW w:w="2117" w:type="dxa"/>
            <w:tcBorders>
              <w:top w:val="nil"/>
              <w:left w:val="single" w:sz="8" w:space="0" w:color="000000"/>
              <w:bottom w:val="single" w:sz="4" w:space="0" w:color="000000"/>
              <w:right w:val="nil"/>
            </w:tcBorders>
            <w:shd w:val="clear" w:color="auto" w:fill="FFFFFF" w:themeFill="background1"/>
            <w:vAlign w:val="bottom"/>
            <w:hideMark/>
          </w:tcPr>
          <w:p w:rsidR="00EC0AFC" w:rsidRPr="00EC0AFC" w:rsidRDefault="00EC0AFC" w:rsidP="00EC0AFC">
            <w:pPr>
              <w:rPr>
                <w:rFonts w:ascii="Arial" w:hAnsi="Arial" w:cs="Arial"/>
                <w:i/>
                <w:iCs/>
                <w:sz w:val="16"/>
                <w:szCs w:val="16"/>
                <w:lang w:val="et-EE" w:eastAsia="et-EE"/>
              </w:rPr>
            </w:pPr>
            <w:r w:rsidRPr="00EC0AFC">
              <w:rPr>
                <w:rFonts w:ascii="Arial" w:hAnsi="Arial" w:cs="Arial"/>
                <w:i/>
                <w:iCs/>
                <w:sz w:val="16"/>
                <w:szCs w:val="16"/>
                <w:lang w:val="et-EE" w:eastAsia="et-EE"/>
              </w:rPr>
              <w:t xml:space="preserve">         sh projektide omaosalus</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-1 039 228</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-983 320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-1 903 822</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-659 160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-363 250</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-316 535</w:t>
            </w:r>
          </w:p>
        </w:tc>
        <w:tc>
          <w:tcPr>
            <w:tcW w:w="992" w:type="dxa"/>
            <w:tcBorders>
              <w:top w:val="nil"/>
              <w:left w:val="nil"/>
              <w:bottom w:val="single" w:sz="4" w:space="0" w:color="000000"/>
              <w:right w:val="single" w:sz="8" w:space="0" w:color="000000"/>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-125 000</w:t>
            </w:r>
          </w:p>
        </w:tc>
      </w:tr>
      <w:tr w:rsidR="00390547" w:rsidRPr="00EC0AFC" w:rsidTr="00244D79">
        <w:trPr>
          <w:trHeight w:val="255"/>
        </w:trPr>
        <w:tc>
          <w:tcPr>
            <w:tcW w:w="2117" w:type="dxa"/>
            <w:tcBorders>
              <w:top w:val="nil"/>
              <w:left w:val="single" w:sz="8" w:space="0" w:color="000000"/>
              <w:bottom w:val="single" w:sz="4" w:space="0" w:color="000000"/>
              <w:right w:val="nil"/>
            </w:tcBorders>
            <w:shd w:val="clear" w:color="auto" w:fill="FFFFFF" w:themeFill="background1"/>
            <w:hideMark/>
          </w:tcPr>
          <w:p w:rsidR="00EC0AFC" w:rsidRPr="00EC0AFC" w:rsidRDefault="00EC0AFC" w:rsidP="00EC0AFC">
            <w:pPr>
              <w:rPr>
                <w:rFonts w:ascii="Arial" w:hAnsi="Arial" w:cs="Arial"/>
                <w:color w:val="000000"/>
                <w:sz w:val="16"/>
                <w:szCs w:val="16"/>
                <w:lang w:val="et-EE" w:eastAsia="et-EE"/>
              </w:rPr>
            </w:pPr>
            <w:r w:rsidRPr="00EC0AFC">
              <w:rPr>
                <w:rFonts w:ascii="Arial" w:hAnsi="Arial" w:cs="Arial"/>
                <w:color w:val="000000"/>
                <w:sz w:val="16"/>
                <w:szCs w:val="16"/>
                <w:lang w:val="et-EE" w:eastAsia="et-EE"/>
              </w:rPr>
              <w:t xml:space="preserve">   Põhivara soetuseks saadav sihtfinantseerimine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32 896</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1 645 966</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2 210 870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641 240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1 218 750</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1 283 031</w:t>
            </w:r>
          </w:p>
        </w:tc>
        <w:tc>
          <w:tcPr>
            <w:tcW w:w="992" w:type="dxa"/>
            <w:tcBorders>
              <w:top w:val="nil"/>
              <w:left w:val="nil"/>
              <w:bottom w:val="single" w:sz="4" w:space="0" w:color="000000"/>
              <w:right w:val="single" w:sz="8" w:space="0" w:color="000000"/>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1 050 000</w:t>
            </w:r>
          </w:p>
        </w:tc>
      </w:tr>
      <w:tr w:rsidR="00390547" w:rsidRPr="00EC0AFC" w:rsidTr="00244D79">
        <w:trPr>
          <w:trHeight w:val="255"/>
        </w:trPr>
        <w:tc>
          <w:tcPr>
            <w:tcW w:w="2117" w:type="dxa"/>
            <w:tcBorders>
              <w:top w:val="nil"/>
              <w:left w:val="single" w:sz="8" w:space="0" w:color="000000"/>
              <w:bottom w:val="single" w:sz="4" w:space="0" w:color="000000"/>
              <w:right w:val="nil"/>
            </w:tcBorders>
            <w:shd w:val="clear" w:color="auto" w:fill="FFFFFF" w:themeFill="background1"/>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xml:space="preserve">   Põhivara soetuseks antav sihtfinantseerimine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-24 475</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-46 530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2" w:type="dxa"/>
            <w:tcBorders>
              <w:top w:val="nil"/>
              <w:left w:val="nil"/>
              <w:bottom w:val="single" w:sz="4" w:space="0" w:color="000000"/>
              <w:right w:val="single" w:sz="8" w:space="0" w:color="000000"/>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r>
      <w:tr w:rsidR="00390547" w:rsidRPr="00EC0AFC" w:rsidTr="00244D79">
        <w:trPr>
          <w:trHeight w:val="255"/>
        </w:trPr>
        <w:tc>
          <w:tcPr>
            <w:tcW w:w="2117" w:type="dxa"/>
            <w:tcBorders>
              <w:top w:val="nil"/>
              <w:left w:val="single" w:sz="8" w:space="0" w:color="000000"/>
              <w:bottom w:val="single" w:sz="4" w:space="0" w:color="000000"/>
              <w:right w:val="nil"/>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xml:space="preserve">   Osaluste ning muude aktsiate ja osade müük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2" w:type="dxa"/>
            <w:tcBorders>
              <w:top w:val="nil"/>
              <w:left w:val="nil"/>
              <w:bottom w:val="single" w:sz="4" w:space="0" w:color="000000"/>
              <w:right w:val="single" w:sz="8" w:space="0" w:color="000000"/>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r>
      <w:tr w:rsidR="00390547" w:rsidRPr="00EC0AFC" w:rsidTr="00244D79">
        <w:trPr>
          <w:trHeight w:val="255"/>
        </w:trPr>
        <w:tc>
          <w:tcPr>
            <w:tcW w:w="2117" w:type="dxa"/>
            <w:tcBorders>
              <w:top w:val="nil"/>
              <w:left w:val="single" w:sz="8" w:space="0" w:color="000000"/>
              <w:bottom w:val="single" w:sz="4" w:space="0" w:color="000000"/>
              <w:right w:val="nil"/>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xml:space="preserve">   Osaluste ning muude aktsiate ja osade soetus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-2 500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2" w:type="dxa"/>
            <w:tcBorders>
              <w:top w:val="nil"/>
              <w:left w:val="nil"/>
              <w:bottom w:val="single" w:sz="4" w:space="0" w:color="000000"/>
              <w:right w:val="single" w:sz="8" w:space="0" w:color="000000"/>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r>
      <w:tr w:rsidR="00390547" w:rsidRPr="00EC0AFC" w:rsidTr="00244D79">
        <w:trPr>
          <w:trHeight w:val="255"/>
        </w:trPr>
        <w:tc>
          <w:tcPr>
            <w:tcW w:w="2117" w:type="dxa"/>
            <w:tcBorders>
              <w:top w:val="nil"/>
              <w:left w:val="single" w:sz="8" w:space="0" w:color="000000"/>
              <w:bottom w:val="nil"/>
              <w:right w:val="nil"/>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xml:space="preserve">   Tagasilaekuvad laenud </w:t>
            </w:r>
            <w:r w:rsidRPr="00EC0AFC">
              <w:rPr>
                <w:rFonts w:ascii="Arial" w:hAnsi="Arial" w:cs="Arial"/>
                <w:sz w:val="16"/>
                <w:szCs w:val="16"/>
                <w:lang w:val="et-EE" w:eastAsia="et-EE"/>
              </w:rPr>
              <w:lastRenderedPageBreak/>
              <w:t>(+)</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lastRenderedPageBreak/>
              <w:t>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2" w:type="dxa"/>
            <w:tcBorders>
              <w:top w:val="nil"/>
              <w:left w:val="nil"/>
              <w:bottom w:val="single" w:sz="4" w:space="0" w:color="000000"/>
              <w:right w:val="single" w:sz="8" w:space="0" w:color="000000"/>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r>
      <w:tr w:rsidR="00390547" w:rsidRPr="00EC0AFC" w:rsidTr="00244D79">
        <w:trPr>
          <w:trHeight w:val="255"/>
        </w:trPr>
        <w:tc>
          <w:tcPr>
            <w:tcW w:w="2117" w:type="dxa"/>
            <w:tcBorders>
              <w:top w:val="single" w:sz="4" w:space="0" w:color="000000"/>
              <w:left w:val="single" w:sz="8" w:space="0" w:color="000000"/>
              <w:bottom w:val="single" w:sz="4" w:space="0" w:color="000000"/>
              <w:right w:val="nil"/>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xml:space="preserve">   Antavad laenud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sz w:val="16"/>
                <w:szCs w:val="16"/>
                <w:lang w:val="et-EE" w:eastAsia="et-EE"/>
              </w:rPr>
            </w:pPr>
            <w:r w:rsidRPr="00EC0AFC">
              <w:rPr>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2" w:type="dxa"/>
            <w:tcBorders>
              <w:top w:val="nil"/>
              <w:left w:val="nil"/>
              <w:bottom w:val="single" w:sz="4" w:space="0" w:color="000000"/>
              <w:right w:val="single" w:sz="8" w:space="0" w:color="000000"/>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r>
      <w:tr w:rsidR="00390547" w:rsidRPr="00EC0AFC" w:rsidTr="00244D79">
        <w:trPr>
          <w:trHeight w:val="255"/>
        </w:trPr>
        <w:tc>
          <w:tcPr>
            <w:tcW w:w="2117" w:type="dxa"/>
            <w:tcBorders>
              <w:top w:val="nil"/>
              <w:left w:val="single" w:sz="8" w:space="0" w:color="000000"/>
              <w:bottom w:val="single" w:sz="4" w:space="0" w:color="000000"/>
              <w:right w:val="nil"/>
            </w:tcBorders>
            <w:shd w:val="clear" w:color="auto" w:fill="FFFFFF" w:themeFill="background1"/>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xml:space="preserve">   Finantstulud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91</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10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c>
          <w:tcPr>
            <w:tcW w:w="992" w:type="dxa"/>
            <w:tcBorders>
              <w:top w:val="nil"/>
              <w:left w:val="nil"/>
              <w:bottom w:val="single" w:sz="4" w:space="0" w:color="000000"/>
              <w:right w:val="single" w:sz="8" w:space="0" w:color="000000"/>
            </w:tcBorders>
            <w:shd w:val="clear" w:color="auto" w:fill="FFFFFF" w:themeFill="background1"/>
            <w:noWrap/>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w:t>
            </w:r>
          </w:p>
        </w:tc>
      </w:tr>
      <w:tr w:rsidR="00390547" w:rsidRPr="00EC0AFC" w:rsidTr="00244D79">
        <w:trPr>
          <w:trHeight w:val="225"/>
        </w:trPr>
        <w:tc>
          <w:tcPr>
            <w:tcW w:w="2117" w:type="dxa"/>
            <w:tcBorders>
              <w:top w:val="nil"/>
              <w:left w:val="single" w:sz="8" w:space="0" w:color="000000"/>
              <w:bottom w:val="single" w:sz="4" w:space="0" w:color="000000"/>
              <w:right w:val="nil"/>
            </w:tcBorders>
            <w:shd w:val="clear" w:color="auto" w:fill="FFFFFF" w:themeFill="background1"/>
            <w:vAlign w:val="bottom"/>
            <w:hideMark/>
          </w:tcPr>
          <w:p w:rsidR="00EC0AFC" w:rsidRPr="00EC0AFC" w:rsidRDefault="00EC0AFC" w:rsidP="00EC0AFC">
            <w:pPr>
              <w:rPr>
                <w:rFonts w:ascii="Arial" w:hAnsi="Arial" w:cs="Arial"/>
                <w:sz w:val="16"/>
                <w:szCs w:val="16"/>
                <w:lang w:val="et-EE" w:eastAsia="et-EE"/>
              </w:rPr>
            </w:pPr>
            <w:r w:rsidRPr="00EC0AFC">
              <w:rPr>
                <w:rFonts w:ascii="Arial" w:hAnsi="Arial" w:cs="Arial"/>
                <w:sz w:val="16"/>
                <w:szCs w:val="16"/>
                <w:lang w:val="et-EE" w:eastAsia="et-EE"/>
              </w:rPr>
              <w:t xml:space="preserve">   Finantskulud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-10 307</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-17 800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-30 000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-35 000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-37 000</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-40 000</w:t>
            </w:r>
          </w:p>
        </w:tc>
        <w:tc>
          <w:tcPr>
            <w:tcW w:w="992" w:type="dxa"/>
            <w:tcBorders>
              <w:top w:val="nil"/>
              <w:left w:val="nil"/>
              <w:bottom w:val="single" w:sz="4" w:space="0" w:color="000000"/>
              <w:right w:val="single" w:sz="4" w:space="0" w:color="000000"/>
            </w:tcBorders>
            <w:shd w:val="clear" w:color="auto" w:fill="FFFFFF" w:themeFill="background1"/>
            <w:noWrap/>
            <w:vAlign w:val="bottom"/>
            <w:hideMark/>
          </w:tcPr>
          <w:p w:rsidR="00EC0AFC" w:rsidRPr="00EC0AFC" w:rsidRDefault="00EC0AFC" w:rsidP="00EC0AFC">
            <w:pPr>
              <w:jc w:val="right"/>
              <w:rPr>
                <w:rFonts w:ascii="Arial" w:hAnsi="Arial" w:cs="Arial"/>
                <w:sz w:val="16"/>
                <w:szCs w:val="16"/>
                <w:lang w:val="et-EE" w:eastAsia="et-EE"/>
              </w:rPr>
            </w:pPr>
            <w:r w:rsidRPr="00EC0AFC">
              <w:rPr>
                <w:rFonts w:ascii="Arial" w:hAnsi="Arial" w:cs="Arial"/>
                <w:sz w:val="16"/>
                <w:szCs w:val="16"/>
                <w:lang w:val="et-EE" w:eastAsia="et-EE"/>
              </w:rPr>
              <w:t>-40 000</w:t>
            </w:r>
          </w:p>
        </w:tc>
      </w:tr>
    </w:tbl>
    <w:p w:rsidR="000A3EC6" w:rsidRPr="000A3EC6" w:rsidRDefault="000A3EC6" w:rsidP="000A3EC6">
      <w:pPr>
        <w:rPr>
          <w:rFonts w:ascii="Trebuchet MS" w:hAnsi="Trebuchet MS"/>
          <w:b/>
          <w:lang w:val="es-ES"/>
        </w:rPr>
      </w:pPr>
    </w:p>
    <w:p w:rsidR="00924C20" w:rsidRPr="00CA7CA9" w:rsidRDefault="007F2237" w:rsidP="00924C20">
      <w:pPr>
        <w:rPr>
          <w:sz w:val="20"/>
          <w:szCs w:val="20"/>
          <w:lang w:val="et-EE"/>
        </w:rPr>
      </w:pPr>
      <w:r w:rsidRPr="00CA7CA9">
        <w:rPr>
          <w:b/>
          <w:sz w:val="20"/>
          <w:szCs w:val="20"/>
          <w:lang w:val="et-EE"/>
        </w:rPr>
        <w:t>Tabel 7. Viru-Nigula valla investeerimistegevus</w:t>
      </w:r>
      <w:r w:rsidR="00D24B82" w:rsidRPr="00CA7CA9">
        <w:rPr>
          <w:b/>
          <w:sz w:val="20"/>
          <w:szCs w:val="20"/>
          <w:lang w:val="et-EE"/>
        </w:rPr>
        <w:t>.</w:t>
      </w:r>
    </w:p>
    <w:p w:rsidR="007F2237" w:rsidRPr="00CA7CA9" w:rsidRDefault="007F2237" w:rsidP="00924C20">
      <w:pPr>
        <w:jc w:val="both"/>
        <w:rPr>
          <w:sz w:val="20"/>
          <w:szCs w:val="20"/>
          <w:lang w:val="et-EE"/>
        </w:rPr>
      </w:pPr>
    </w:p>
    <w:p w:rsidR="00924C20" w:rsidRPr="00DE30D7" w:rsidRDefault="00924C20" w:rsidP="00851132">
      <w:pPr>
        <w:spacing w:line="276" w:lineRule="auto"/>
        <w:jc w:val="both"/>
        <w:rPr>
          <w:lang w:val="et-EE"/>
        </w:rPr>
      </w:pPr>
      <w:r w:rsidRPr="00DE30D7">
        <w:rPr>
          <w:lang w:val="et-EE"/>
        </w:rPr>
        <w:t>Investeeringute kavandamise aluseks on peamiselt ühinemisleping</w:t>
      </w:r>
      <w:r w:rsidR="00D24B82" w:rsidRPr="00DE30D7">
        <w:rPr>
          <w:lang w:val="et-EE"/>
        </w:rPr>
        <w:t>, milles on</w:t>
      </w:r>
      <w:r w:rsidRPr="00DE30D7">
        <w:rPr>
          <w:lang w:val="et-EE"/>
        </w:rPr>
        <w:t xml:space="preserve"> toodud vajaliku</w:t>
      </w:r>
      <w:r w:rsidR="00E4636B" w:rsidRPr="00DE30D7">
        <w:rPr>
          <w:lang w:val="et-EE"/>
        </w:rPr>
        <w:t>d</w:t>
      </w:r>
      <w:r w:rsidRPr="00DE30D7">
        <w:rPr>
          <w:lang w:val="et-EE"/>
        </w:rPr>
        <w:t xml:space="preserve"> investeeringu</w:t>
      </w:r>
      <w:r w:rsidR="00E4636B" w:rsidRPr="00DE30D7">
        <w:rPr>
          <w:lang w:val="et-EE"/>
        </w:rPr>
        <w:t>objektid</w:t>
      </w:r>
      <w:r w:rsidRPr="00DE30D7">
        <w:rPr>
          <w:lang w:val="et-EE"/>
        </w:rPr>
        <w:t xml:space="preserve"> kuni aastani 2020. Eelarvestrateegia periood</w:t>
      </w:r>
      <w:r w:rsidR="00D24B82" w:rsidRPr="00DE30D7">
        <w:rPr>
          <w:lang w:val="et-EE"/>
        </w:rPr>
        <w:t>i</w:t>
      </w:r>
      <w:r w:rsidRPr="00DE30D7">
        <w:rPr>
          <w:lang w:val="et-EE"/>
        </w:rPr>
        <w:t xml:space="preserve"> lõpuks on investeeringud täiendavalt kokku lepitud. Investeeringute kava täitmiseks ei piisa ainult oma eelarve vahendit</w:t>
      </w:r>
      <w:r w:rsidR="00D24B82" w:rsidRPr="00DE30D7">
        <w:rPr>
          <w:lang w:val="et-EE"/>
        </w:rPr>
        <w:t>est. Lisavahendid on plaanitud saada</w:t>
      </w:r>
      <w:r w:rsidRPr="00DE30D7">
        <w:rPr>
          <w:lang w:val="et-EE"/>
        </w:rPr>
        <w:t xml:space="preserve"> projektitoetustest ja täiendavatest laenudest. Laenude kavan</w:t>
      </w:r>
      <w:r w:rsidR="00D24B82" w:rsidRPr="00DE30D7">
        <w:rPr>
          <w:lang w:val="et-EE"/>
        </w:rPr>
        <w:t>damine on kooskõlas seadus</w:t>
      </w:r>
      <w:r w:rsidRPr="00DE30D7">
        <w:rPr>
          <w:lang w:val="et-EE"/>
        </w:rPr>
        <w:t xml:space="preserve">ega ja valla </w:t>
      </w:r>
      <w:r w:rsidR="005D7AC0" w:rsidRPr="00DE30D7">
        <w:rPr>
          <w:lang w:val="et-EE"/>
        </w:rPr>
        <w:t>finants</w:t>
      </w:r>
      <w:r w:rsidRPr="00DE30D7">
        <w:rPr>
          <w:lang w:val="et-EE"/>
        </w:rPr>
        <w:t>võimekusega. Senine praktika projektitoetuste saamiseks on olnud positiivne ja arvestades E</w:t>
      </w:r>
      <w:r w:rsidR="00E4636B" w:rsidRPr="00DE30D7">
        <w:rPr>
          <w:lang w:val="et-EE"/>
        </w:rPr>
        <w:t>uroopa Liidu</w:t>
      </w:r>
      <w:r w:rsidR="004768E3" w:rsidRPr="00DE30D7">
        <w:rPr>
          <w:lang w:val="et-EE"/>
        </w:rPr>
        <w:t xml:space="preserve"> struktuurfondide </w:t>
      </w:r>
      <w:r w:rsidRPr="00DE30D7">
        <w:rPr>
          <w:lang w:val="et-EE"/>
        </w:rPr>
        <w:t xml:space="preserve">meetmete järgmist </w:t>
      </w:r>
      <w:r w:rsidR="004768E3" w:rsidRPr="00DE30D7">
        <w:rPr>
          <w:lang w:val="et-EE"/>
        </w:rPr>
        <w:t>taotlus</w:t>
      </w:r>
      <w:r w:rsidRPr="00DE30D7">
        <w:rPr>
          <w:lang w:val="et-EE"/>
        </w:rPr>
        <w:t xml:space="preserve">perioodi ja sinna kavandatud vahendeid, on </w:t>
      </w:r>
      <w:r w:rsidR="00E4636B" w:rsidRPr="00DE30D7">
        <w:rPr>
          <w:lang w:val="et-EE"/>
        </w:rPr>
        <w:t xml:space="preserve">Viru-Nigula </w:t>
      </w:r>
      <w:r w:rsidRPr="00DE30D7">
        <w:rPr>
          <w:lang w:val="et-EE"/>
        </w:rPr>
        <w:t>vallal perspektiivis mitmeid abikõlbulik</w:t>
      </w:r>
      <w:r w:rsidR="00E4636B" w:rsidRPr="00DE30D7">
        <w:rPr>
          <w:lang w:val="et-EE"/>
        </w:rPr>
        <w:t>k</w:t>
      </w:r>
      <w:r w:rsidR="0062749B" w:rsidRPr="00DE30D7">
        <w:rPr>
          <w:lang w:val="et-EE"/>
        </w:rPr>
        <w:t>e projekte</w:t>
      </w:r>
      <w:r w:rsidRPr="00DE30D7">
        <w:rPr>
          <w:lang w:val="et-EE"/>
        </w:rPr>
        <w:t xml:space="preserve"> juba varus. Investeeringu</w:t>
      </w:r>
      <w:r w:rsidR="000A3EC6" w:rsidRPr="00DE30D7">
        <w:rPr>
          <w:lang w:val="et-EE"/>
        </w:rPr>
        <w:t>d</w:t>
      </w:r>
      <w:r w:rsidRPr="00DE30D7">
        <w:rPr>
          <w:lang w:val="et-EE"/>
        </w:rPr>
        <w:t xml:space="preserve"> valdkondade lõikes on </w:t>
      </w:r>
      <w:r w:rsidR="000A3EC6" w:rsidRPr="00DE30D7">
        <w:rPr>
          <w:lang w:val="et-EE"/>
        </w:rPr>
        <w:t>esitatud tabelis 8.</w:t>
      </w:r>
    </w:p>
    <w:p w:rsidR="000A3EC6" w:rsidRDefault="000A3EC6" w:rsidP="00924C20">
      <w:pPr>
        <w:jc w:val="both"/>
        <w:rPr>
          <w:rFonts w:ascii="Trebuchet MS" w:hAnsi="Trebuchet MS"/>
          <w:lang w:val="et-EE"/>
        </w:rPr>
      </w:pPr>
    </w:p>
    <w:tbl>
      <w:tblPr>
        <w:tblW w:w="9488" w:type="dxa"/>
        <w:tblLayout w:type="fixed"/>
        <w:tblCellMar>
          <w:left w:w="70" w:type="dxa"/>
          <w:right w:w="70" w:type="dxa"/>
        </w:tblCellMar>
        <w:tblLook w:val="04A0" w:firstRow="1" w:lastRow="0" w:firstColumn="1" w:lastColumn="0" w:noHBand="0" w:noVBand="1"/>
      </w:tblPr>
      <w:tblGrid>
        <w:gridCol w:w="2807"/>
        <w:gridCol w:w="727"/>
        <w:gridCol w:w="992"/>
        <w:gridCol w:w="993"/>
        <w:gridCol w:w="992"/>
        <w:gridCol w:w="992"/>
        <w:gridCol w:w="992"/>
        <w:gridCol w:w="993"/>
      </w:tblGrid>
      <w:tr w:rsidR="00390547" w:rsidRPr="00390547" w:rsidTr="00341EE2">
        <w:trPr>
          <w:trHeight w:val="855"/>
        </w:trPr>
        <w:tc>
          <w:tcPr>
            <w:tcW w:w="2807" w:type="dxa"/>
            <w:tcBorders>
              <w:top w:val="single" w:sz="8" w:space="0" w:color="000000"/>
              <w:left w:val="single" w:sz="8" w:space="0" w:color="000000"/>
              <w:bottom w:val="single" w:sz="8" w:space="0" w:color="000000"/>
              <w:right w:val="single" w:sz="4" w:space="0" w:color="000000"/>
            </w:tcBorders>
            <w:shd w:val="clear" w:color="auto" w:fill="D6E3BC" w:themeFill="accent3" w:themeFillTint="66"/>
            <w:vAlign w:val="bottom"/>
            <w:hideMark/>
          </w:tcPr>
          <w:p w:rsidR="00390547" w:rsidRPr="00390547" w:rsidRDefault="00390547" w:rsidP="00390547">
            <w:pPr>
              <w:rPr>
                <w:rFonts w:ascii="Arial" w:hAnsi="Arial" w:cs="Arial"/>
                <w:b/>
                <w:bCs/>
                <w:sz w:val="16"/>
                <w:szCs w:val="16"/>
                <w:lang w:val="et-EE" w:eastAsia="et-EE"/>
              </w:rPr>
            </w:pPr>
            <w:r w:rsidRPr="00390547">
              <w:rPr>
                <w:rFonts w:ascii="Arial" w:hAnsi="Arial" w:cs="Arial"/>
                <w:b/>
                <w:bCs/>
                <w:sz w:val="16"/>
                <w:szCs w:val="16"/>
                <w:lang w:val="et-EE" w:eastAsia="et-EE"/>
              </w:rPr>
              <w:t>Investeeringuobjektid* (alati "+" märgiga)</w:t>
            </w:r>
          </w:p>
        </w:tc>
        <w:tc>
          <w:tcPr>
            <w:tcW w:w="727" w:type="dxa"/>
            <w:tcBorders>
              <w:top w:val="single" w:sz="8" w:space="0" w:color="000000"/>
              <w:left w:val="nil"/>
              <w:bottom w:val="single" w:sz="8" w:space="0" w:color="000000"/>
              <w:right w:val="single" w:sz="4" w:space="0" w:color="000000"/>
            </w:tcBorders>
            <w:shd w:val="clear" w:color="auto" w:fill="D6E3BC" w:themeFill="accent3" w:themeFillTint="66"/>
            <w:vAlign w:val="bottom"/>
            <w:hideMark/>
          </w:tcPr>
          <w:p w:rsidR="00390547" w:rsidRPr="00390547" w:rsidRDefault="00390547" w:rsidP="00390547">
            <w:pPr>
              <w:jc w:val="center"/>
              <w:rPr>
                <w:rFonts w:ascii="Arial" w:hAnsi="Arial" w:cs="Arial"/>
                <w:b/>
                <w:bCs/>
                <w:sz w:val="16"/>
                <w:szCs w:val="16"/>
                <w:lang w:val="et-EE" w:eastAsia="et-EE"/>
              </w:rPr>
            </w:pPr>
            <w:r w:rsidRPr="00390547">
              <w:rPr>
                <w:rFonts w:ascii="Arial" w:hAnsi="Arial" w:cs="Arial"/>
                <w:b/>
                <w:bCs/>
                <w:sz w:val="16"/>
                <w:szCs w:val="16"/>
                <w:lang w:val="et-EE" w:eastAsia="et-EE"/>
              </w:rPr>
              <w:t> </w:t>
            </w:r>
          </w:p>
        </w:tc>
        <w:tc>
          <w:tcPr>
            <w:tcW w:w="992" w:type="dxa"/>
            <w:tcBorders>
              <w:top w:val="single" w:sz="8" w:space="0" w:color="000000"/>
              <w:left w:val="nil"/>
              <w:bottom w:val="single" w:sz="8" w:space="0" w:color="000000"/>
              <w:right w:val="single" w:sz="4" w:space="0" w:color="000000"/>
            </w:tcBorders>
            <w:shd w:val="clear" w:color="auto" w:fill="D6E3BC" w:themeFill="accent3" w:themeFillTint="66"/>
            <w:vAlign w:val="bottom"/>
            <w:hideMark/>
          </w:tcPr>
          <w:p w:rsidR="00390547" w:rsidRPr="00390547" w:rsidRDefault="00390547" w:rsidP="00390547">
            <w:pPr>
              <w:jc w:val="center"/>
              <w:rPr>
                <w:rFonts w:ascii="Arial" w:hAnsi="Arial" w:cs="Arial"/>
                <w:b/>
                <w:bCs/>
                <w:sz w:val="16"/>
                <w:szCs w:val="16"/>
                <w:lang w:val="et-EE" w:eastAsia="et-EE"/>
              </w:rPr>
            </w:pPr>
            <w:r w:rsidRPr="00390547">
              <w:rPr>
                <w:rFonts w:ascii="Arial" w:hAnsi="Arial" w:cs="Arial"/>
                <w:b/>
                <w:bCs/>
                <w:sz w:val="16"/>
                <w:szCs w:val="16"/>
                <w:lang w:val="et-EE" w:eastAsia="et-EE"/>
              </w:rPr>
              <w:t>2018 eeldatav täitmine</w:t>
            </w:r>
          </w:p>
        </w:tc>
        <w:tc>
          <w:tcPr>
            <w:tcW w:w="993" w:type="dxa"/>
            <w:tcBorders>
              <w:top w:val="single" w:sz="8" w:space="0" w:color="000000"/>
              <w:left w:val="nil"/>
              <w:bottom w:val="single" w:sz="8" w:space="0" w:color="000000"/>
              <w:right w:val="single" w:sz="4" w:space="0" w:color="000000"/>
            </w:tcBorders>
            <w:shd w:val="clear" w:color="auto" w:fill="D6E3BC" w:themeFill="accent3" w:themeFillTint="66"/>
            <w:vAlign w:val="bottom"/>
            <w:hideMark/>
          </w:tcPr>
          <w:p w:rsidR="00390547" w:rsidRPr="00390547" w:rsidRDefault="00390547" w:rsidP="00390547">
            <w:pPr>
              <w:jc w:val="center"/>
              <w:rPr>
                <w:rFonts w:ascii="Arial" w:hAnsi="Arial" w:cs="Arial"/>
                <w:b/>
                <w:bCs/>
                <w:sz w:val="16"/>
                <w:szCs w:val="16"/>
                <w:lang w:val="et-EE" w:eastAsia="et-EE"/>
              </w:rPr>
            </w:pPr>
            <w:r w:rsidRPr="00390547">
              <w:rPr>
                <w:rFonts w:ascii="Arial" w:hAnsi="Arial" w:cs="Arial"/>
                <w:b/>
                <w:bCs/>
                <w:sz w:val="16"/>
                <w:szCs w:val="16"/>
                <w:lang w:val="et-EE" w:eastAsia="et-EE"/>
              </w:rPr>
              <w:t xml:space="preserve">2019 eelarve  </w:t>
            </w:r>
          </w:p>
        </w:tc>
        <w:tc>
          <w:tcPr>
            <w:tcW w:w="992" w:type="dxa"/>
            <w:tcBorders>
              <w:top w:val="single" w:sz="8" w:space="0" w:color="000000"/>
              <w:left w:val="nil"/>
              <w:bottom w:val="single" w:sz="8" w:space="0" w:color="000000"/>
              <w:right w:val="single" w:sz="4" w:space="0" w:color="000000"/>
            </w:tcBorders>
            <w:shd w:val="clear" w:color="auto" w:fill="D6E3BC" w:themeFill="accent3" w:themeFillTint="66"/>
            <w:vAlign w:val="bottom"/>
            <w:hideMark/>
          </w:tcPr>
          <w:p w:rsidR="00390547" w:rsidRPr="00390547" w:rsidRDefault="00390547" w:rsidP="00390547">
            <w:pPr>
              <w:jc w:val="center"/>
              <w:rPr>
                <w:rFonts w:ascii="Arial" w:hAnsi="Arial" w:cs="Arial"/>
                <w:b/>
                <w:bCs/>
                <w:sz w:val="16"/>
                <w:szCs w:val="16"/>
                <w:lang w:val="et-EE" w:eastAsia="et-EE"/>
              </w:rPr>
            </w:pPr>
            <w:r w:rsidRPr="00390547">
              <w:rPr>
                <w:rFonts w:ascii="Arial" w:hAnsi="Arial" w:cs="Arial"/>
                <w:b/>
                <w:bCs/>
                <w:sz w:val="16"/>
                <w:szCs w:val="16"/>
                <w:lang w:val="et-EE" w:eastAsia="et-EE"/>
              </w:rPr>
              <w:t xml:space="preserve">2020 eelarve  </w:t>
            </w:r>
          </w:p>
        </w:tc>
        <w:tc>
          <w:tcPr>
            <w:tcW w:w="992" w:type="dxa"/>
            <w:tcBorders>
              <w:top w:val="single" w:sz="8" w:space="0" w:color="000000"/>
              <w:left w:val="nil"/>
              <w:bottom w:val="single" w:sz="8" w:space="0" w:color="000000"/>
              <w:right w:val="single" w:sz="4" w:space="0" w:color="000000"/>
            </w:tcBorders>
            <w:shd w:val="clear" w:color="auto" w:fill="D6E3BC" w:themeFill="accent3" w:themeFillTint="66"/>
            <w:vAlign w:val="bottom"/>
            <w:hideMark/>
          </w:tcPr>
          <w:p w:rsidR="00390547" w:rsidRPr="00390547" w:rsidRDefault="00390547" w:rsidP="00390547">
            <w:pPr>
              <w:jc w:val="center"/>
              <w:rPr>
                <w:rFonts w:ascii="Arial" w:hAnsi="Arial" w:cs="Arial"/>
                <w:b/>
                <w:bCs/>
                <w:sz w:val="16"/>
                <w:szCs w:val="16"/>
                <w:lang w:val="et-EE" w:eastAsia="et-EE"/>
              </w:rPr>
            </w:pPr>
            <w:r w:rsidRPr="00390547">
              <w:rPr>
                <w:rFonts w:ascii="Arial" w:hAnsi="Arial" w:cs="Arial"/>
                <w:b/>
                <w:bCs/>
                <w:sz w:val="16"/>
                <w:szCs w:val="16"/>
                <w:lang w:val="et-EE" w:eastAsia="et-EE"/>
              </w:rPr>
              <w:t xml:space="preserve">2021 eelarve  </w:t>
            </w:r>
          </w:p>
        </w:tc>
        <w:tc>
          <w:tcPr>
            <w:tcW w:w="992" w:type="dxa"/>
            <w:tcBorders>
              <w:top w:val="single" w:sz="8" w:space="0" w:color="000000"/>
              <w:left w:val="nil"/>
              <w:bottom w:val="single" w:sz="8" w:space="0" w:color="000000"/>
              <w:right w:val="single" w:sz="8" w:space="0" w:color="000000"/>
            </w:tcBorders>
            <w:shd w:val="clear" w:color="auto" w:fill="D6E3BC" w:themeFill="accent3" w:themeFillTint="66"/>
            <w:vAlign w:val="bottom"/>
            <w:hideMark/>
          </w:tcPr>
          <w:p w:rsidR="00390547" w:rsidRPr="00390547" w:rsidRDefault="00390547" w:rsidP="00390547">
            <w:pPr>
              <w:jc w:val="center"/>
              <w:rPr>
                <w:rFonts w:ascii="Arial" w:hAnsi="Arial" w:cs="Arial"/>
                <w:b/>
                <w:bCs/>
                <w:sz w:val="16"/>
                <w:szCs w:val="16"/>
                <w:lang w:val="et-EE" w:eastAsia="et-EE"/>
              </w:rPr>
            </w:pPr>
            <w:r w:rsidRPr="00390547">
              <w:rPr>
                <w:rFonts w:ascii="Arial" w:hAnsi="Arial" w:cs="Arial"/>
                <w:b/>
                <w:bCs/>
                <w:sz w:val="16"/>
                <w:szCs w:val="16"/>
                <w:lang w:val="et-EE" w:eastAsia="et-EE"/>
              </w:rPr>
              <w:t xml:space="preserve">2022 eelarve  </w:t>
            </w:r>
          </w:p>
        </w:tc>
        <w:tc>
          <w:tcPr>
            <w:tcW w:w="993" w:type="dxa"/>
            <w:tcBorders>
              <w:top w:val="single" w:sz="8" w:space="0" w:color="000000"/>
              <w:left w:val="single" w:sz="4" w:space="0" w:color="000000"/>
              <w:bottom w:val="single" w:sz="8" w:space="0" w:color="000000"/>
              <w:right w:val="single" w:sz="4" w:space="0" w:color="000000"/>
            </w:tcBorders>
            <w:shd w:val="clear" w:color="auto" w:fill="D6E3BC" w:themeFill="accent3" w:themeFillTint="66"/>
            <w:vAlign w:val="bottom"/>
            <w:hideMark/>
          </w:tcPr>
          <w:p w:rsidR="00390547" w:rsidRPr="00390547" w:rsidRDefault="00390547" w:rsidP="00390547">
            <w:pPr>
              <w:jc w:val="center"/>
              <w:rPr>
                <w:rFonts w:ascii="Arial" w:hAnsi="Arial" w:cs="Arial"/>
                <w:b/>
                <w:bCs/>
                <w:sz w:val="16"/>
                <w:szCs w:val="16"/>
                <w:lang w:val="et-EE" w:eastAsia="et-EE"/>
              </w:rPr>
            </w:pPr>
            <w:r w:rsidRPr="00390547">
              <w:rPr>
                <w:rFonts w:ascii="Arial" w:hAnsi="Arial" w:cs="Arial"/>
                <w:b/>
                <w:bCs/>
                <w:sz w:val="16"/>
                <w:szCs w:val="16"/>
                <w:lang w:val="et-EE" w:eastAsia="et-EE"/>
              </w:rPr>
              <w:t xml:space="preserve">2023 eelarve  </w:t>
            </w:r>
          </w:p>
        </w:tc>
      </w:tr>
      <w:tr w:rsidR="00390547" w:rsidRPr="00390547" w:rsidTr="00390547">
        <w:trPr>
          <w:trHeight w:val="225"/>
        </w:trPr>
        <w:tc>
          <w:tcPr>
            <w:tcW w:w="2807" w:type="dxa"/>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b/>
                <w:bCs/>
                <w:sz w:val="16"/>
                <w:szCs w:val="16"/>
                <w:lang w:val="et-EE" w:eastAsia="et-EE"/>
              </w:rPr>
            </w:pPr>
            <w:r w:rsidRPr="00390547">
              <w:rPr>
                <w:rFonts w:ascii="Arial" w:hAnsi="Arial" w:cs="Arial"/>
                <w:b/>
                <w:bCs/>
                <w:sz w:val="16"/>
                <w:szCs w:val="16"/>
                <w:lang w:val="et-EE" w:eastAsia="et-EE"/>
              </w:rPr>
              <w:t>01 Üldised valitsussektori teenused</w:t>
            </w:r>
          </w:p>
        </w:tc>
        <w:tc>
          <w:tcPr>
            <w:tcW w:w="727" w:type="dxa"/>
            <w:tcBorders>
              <w:top w:val="single" w:sz="4" w:space="0" w:color="000000"/>
              <w:left w:val="nil"/>
              <w:bottom w:val="single" w:sz="4" w:space="0" w:color="000000"/>
              <w:right w:val="single" w:sz="4" w:space="0" w:color="000000"/>
            </w:tcBorders>
            <w:shd w:val="clear" w:color="969696" w:fill="969696"/>
            <w:noWrap/>
            <w:vAlign w:val="bottom"/>
            <w:hideMark/>
          </w:tcPr>
          <w:p w:rsidR="00390547" w:rsidRPr="00390547" w:rsidRDefault="00390547" w:rsidP="00390547">
            <w:pPr>
              <w:rPr>
                <w:rFonts w:ascii="Arial" w:hAnsi="Arial" w:cs="Arial"/>
                <w:b/>
                <w:bCs/>
                <w:sz w:val="16"/>
                <w:szCs w:val="16"/>
                <w:lang w:val="et-EE" w:eastAsia="et-EE"/>
              </w:rPr>
            </w:pPr>
            <w:r w:rsidRPr="00390547">
              <w:rPr>
                <w:rFonts w:ascii="Arial" w:hAnsi="Arial" w:cs="Arial"/>
                <w:b/>
                <w:bCs/>
                <w:sz w:val="16"/>
                <w:szCs w:val="16"/>
                <w:lang w:val="et-EE" w:eastAsia="et-EE"/>
              </w:rPr>
              <w:t> </w:t>
            </w:r>
          </w:p>
        </w:tc>
        <w:tc>
          <w:tcPr>
            <w:tcW w:w="992" w:type="dxa"/>
            <w:tcBorders>
              <w:top w:val="single" w:sz="4" w:space="0" w:color="000000"/>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202 132</w:t>
            </w:r>
          </w:p>
        </w:tc>
        <w:tc>
          <w:tcPr>
            <w:tcW w:w="993" w:type="dxa"/>
            <w:tcBorders>
              <w:top w:val="single" w:sz="4" w:space="0" w:color="000000"/>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20 000</w:t>
            </w:r>
          </w:p>
        </w:tc>
        <w:tc>
          <w:tcPr>
            <w:tcW w:w="992" w:type="dxa"/>
            <w:tcBorders>
              <w:top w:val="single" w:sz="4" w:space="0" w:color="000000"/>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50 000</w:t>
            </w:r>
          </w:p>
        </w:tc>
        <w:tc>
          <w:tcPr>
            <w:tcW w:w="992" w:type="dxa"/>
            <w:tcBorders>
              <w:top w:val="single" w:sz="4" w:space="0" w:color="000000"/>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50 000</w:t>
            </w:r>
          </w:p>
        </w:tc>
        <w:tc>
          <w:tcPr>
            <w:tcW w:w="992" w:type="dxa"/>
            <w:tcBorders>
              <w:top w:val="single" w:sz="4" w:space="0" w:color="000000"/>
              <w:left w:val="nil"/>
              <w:bottom w:val="single" w:sz="4" w:space="0" w:color="000000"/>
              <w:right w:val="single" w:sz="8"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50 000</w:t>
            </w:r>
          </w:p>
        </w:tc>
        <w:tc>
          <w:tcPr>
            <w:tcW w:w="993" w:type="dxa"/>
            <w:tcBorders>
              <w:top w:val="single" w:sz="4" w:space="0" w:color="000000"/>
              <w:left w:val="single" w:sz="4" w:space="0" w:color="000000"/>
              <w:bottom w:val="single" w:sz="4" w:space="0" w:color="000000"/>
              <w:right w:val="single" w:sz="8"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50 000</w:t>
            </w:r>
          </w:p>
        </w:tc>
      </w:tr>
      <w:tr w:rsidR="00390547" w:rsidRPr="00390547" w:rsidTr="00390547">
        <w:trPr>
          <w:trHeight w:val="225"/>
        </w:trPr>
        <w:tc>
          <w:tcPr>
            <w:tcW w:w="2807" w:type="dxa"/>
            <w:tcBorders>
              <w:top w:val="nil"/>
              <w:left w:val="single" w:sz="8" w:space="0" w:color="000000"/>
              <w:bottom w:val="single" w:sz="4" w:space="0" w:color="000000"/>
              <w:right w:val="single" w:sz="4" w:space="0" w:color="000000"/>
            </w:tcBorders>
            <w:shd w:val="clear" w:color="auto" w:fill="auto"/>
            <w:vAlign w:val="bottom"/>
            <w:hideMark/>
          </w:tcPr>
          <w:p w:rsidR="00390547" w:rsidRPr="00390547" w:rsidRDefault="00390547" w:rsidP="00390547">
            <w:pPr>
              <w:rPr>
                <w:rFonts w:ascii="Arial" w:hAnsi="Arial" w:cs="Arial"/>
                <w:i/>
                <w:iCs/>
                <w:sz w:val="16"/>
                <w:szCs w:val="16"/>
                <w:lang w:val="et-EE" w:eastAsia="et-EE"/>
              </w:rPr>
            </w:pPr>
            <w:r w:rsidRPr="00390547">
              <w:rPr>
                <w:rFonts w:ascii="Arial" w:hAnsi="Arial" w:cs="Arial"/>
                <w:i/>
                <w:iCs/>
                <w:sz w:val="16"/>
                <w:szCs w:val="16"/>
                <w:lang w:val="et-EE" w:eastAsia="et-EE"/>
              </w:rPr>
              <w:t>sh toetuse arvelt</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r>
      <w:tr w:rsidR="00390547" w:rsidRPr="00390547" w:rsidTr="00390547">
        <w:trPr>
          <w:trHeight w:val="225"/>
        </w:trPr>
        <w:tc>
          <w:tcPr>
            <w:tcW w:w="2807" w:type="dxa"/>
            <w:tcBorders>
              <w:top w:val="nil"/>
              <w:left w:val="single" w:sz="8" w:space="0" w:color="000000"/>
              <w:bottom w:val="single" w:sz="4" w:space="0" w:color="000000"/>
              <w:right w:val="single" w:sz="4" w:space="0" w:color="000000"/>
            </w:tcBorders>
            <w:shd w:val="clear" w:color="auto" w:fill="auto"/>
            <w:vAlign w:val="bottom"/>
            <w:hideMark/>
          </w:tcPr>
          <w:p w:rsidR="00390547" w:rsidRPr="00390547" w:rsidRDefault="00390547" w:rsidP="00390547">
            <w:pPr>
              <w:rPr>
                <w:rFonts w:ascii="Arial" w:hAnsi="Arial" w:cs="Arial"/>
                <w:i/>
                <w:iCs/>
                <w:sz w:val="16"/>
                <w:szCs w:val="16"/>
                <w:lang w:val="et-EE" w:eastAsia="et-EE"/>
              </w:rPr>
            </w:pPr>
            <w:r w:rsidRPr="00390547">
              <w:rPr>
                <w:rFonts w:ascii="Arial" w:hAnsi="Arial" w:cs="Arial"/>
                <w:i/>
                <w:iCs/>
                <w:sz w:val="16"/>
                <w:szCs w:val="16"/>
                <w:lang w:val="et-EE" w:eastAsia="et-EE"/>
              </w:rPr>
              <w:t>sh muude vahendite arvelt (omaosalus)</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202 132</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20 000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50 000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50 000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50 000</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50 000</w:t>
            </w:r>
          </w:p>
        </w:tc>
      </w:tr>
      <w:tr w:rsidR="00390547" w:rsidRPr="00390547" w:rsidTr="00390547">
        <w:trPr>
          <w:trHeight w:val="270"/>
        </w:trPr>
        <w:tc>
          <w:tcPr>
            <w:tcW w:w="2807" w:type="dxa"/>
            <w:tcBorders>
              <w:top w:val="nil"/>
              <w:left w:val="single" w:sz="8" w:space="0" w:color="000000"/>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b/>
                <w:bCs/>
                <w:sz w:val="16"/>
                <w:szCs w:val="16"/>
                <w:lang w:val="et-EE" w:eastAsia="et-EE"/>
              </w:rPr>
            </w:pPr>
            <w:r w:rsidRPr="00390547">
              <w:rPr>
                <w:rFonts w:ascii="Arial" w:hAnsi="Arial" w:cs="Arial"/>
                <w:b/>
                <w:bCs/>
                <w:sz w:val="16"/>
                <w:szCs w:val="16"/>
                <w:lang w:val="et-EE" w:eastAsia="et-EE"/>
              </w:rPr>
              <w:t>02 Riigikaitse</w:t>
            </w:r>
          </w:p>
        </w:tc>
        <w:tc>
          <w:tcPr>
            <w:tcW w:w="727"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rPr>
                <w:rFonts w:ascii="Arial" w:hAnsi="Arial" w:cs="Arial"/>
                <w:b/>
                <w:bCs/>
                <w:sz w:val="16"/>
                <w:szCs w:val="16"/>
                <w:lang w:val="et-EE" w:eastAsia="et-EE"/>
              </w:rPr>
            </w:pPr>
            <w:r w:rsidRPr="00390547">
              <w:rPr>
                <w:rFonts w:ascii="Arial" w:hAnsi="Arial" w:cs="Arial"/>
                <w:b/>
                <w:bCs/>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c>
          <w:tcPr>
            <w:tcW w:w="993"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c>
          <w:tcPr>
            <w:tcW w:w="992" w:type="dxa"/>
            <w:tcBorders>
              <w:top w:val="nil"/>
              <w:left w:val="nil"/>
              <w:bottom w:val="single" w:sz="4" w:space="0" w:color="000000"/>
              <w:right w:val="single" w:sz="8"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r>
      <w:tr w:rsidR="00390547" w:rsidRPr="00390547" w:rsidTr="00390547">
        <w:trPr>
          <w:trHeight w:val="270"/>
        </w:trPr>
        <w:tc>
          <w:tcPr>
            <w:tcW w:w="2807" w:type="dxa"/>
            <w:tcBorders>
              <w:top w:val="nil"/>
              <w:left w:val="single" w:sz="8" w:space="0" w:color="000000"/>
              <w:bottom w:val="single" w:sz="4" w:space="0" w:color="000000"/>
              <w:right w:val="single" w:sz="4" w:space="0" w:color="000000"/>
            </w:tcBorders>
            <w:shd w:val="clear" w:color="auto" w:fill="auto"/>
            <w:vAlign w:val="bottom"/>
            <w:hideMark/>
          </w:tcPr>
          <w:p w:rsidR="00390547" w:rsidRPr="00390547" w:rsidRDefault="00390547" w:rsidP="00390547">
            <w:pPr>
              <w:rPr>
                <w:rFonts w:ascii="Arial" w:hAnsi="Arial" w:cs="Arial"/>
                <w:i/>
                <w:iCs/>
                <w:sz w:val="16"/>
                <w:szCs w:val="16"/>
                <w:lang w:val="et-EE" w:eastAsia="et-EE"/>
              </w:rPr>
            </w:pPr>
            <w:r w:rsidRPr="00390547">
              <w:rPr>
                <w:rFonts w:ascii="Arial" w:hAnsi="Arial" w:cs="Arial"/>
                <w:i/>
                <w:iCs/>
                <w:sz w:val="16"/>
                <w:szCs w:val="16"/>
                <w:lang w:val="et-EE" w:eastAsia="et-EE"/>
              </w:rPr>
              <w:t>sh toetuse arvelt</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8"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3" w:type="dxa"/>
            <w:tcBorders>
              <w:top w:val="nil"/>
              <w:left w:val="single" w:sz="4" w:space="0" w:color="000000"/>
              <w:bottom w:val="single" w:sz="4" w:space="0" w:color="000000"/>
              <w:right w:val="single" w:sz="8"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r>
      <w:tr w:rsidR="00390547" w:rsidRPr="00390547" w:rsidTr="00390547">
        <w:trPr>
          <w:trHeight w:val="270"/>
        </w:trPr>
        <w:tc>
          <w:tcPr>
            <w:tcW w:w="2807" w:type="dxa"/>
            <w:tcBorders>
              <w:top w:val="nil"/>
              <w:left w:val="single" w:sz="8" w:space="0" w:color="000000"/>
              <w:bottom w:val="single" w:sz="4" w:space="0" w:color="000000"/>
              <w:right w:val="single" w:sz="4" w:space="0" w:color="000000"/>
            </w:tcBorders>
            <w:shd w:val="clear" w:color="auto" w:fill="auto"/>
            <w:vAlign w:val="bottom"/>
            <w:hideMark/>
          </w:tcPr>
          <w:p w:rsidR="00390547" w:rsidRPr="00390547" w:rsidRDefault="00390547" w:rsidP="00390547">
            <w:pPr>
              <w:rPr>
                <w:rFonts w:ascii="Arial" w:hAnsi="Arial" w:cs="Arial"/>
                <w:i/>
                <w:iCs/>
                <w:sz w:val="16"/>
                <w:szCs w:val="16"/>
                <w:lang w:val="et-EE" w:eastAsia="et-EE"/>
              </w:rPr>
            </w:pPr>
            <w:r w:rsidRPr="00390547">
              <w:rPr>
                <w:rFonts w:ascii="Arial" w:hAnsi="Arial" w:cs="Arial"/>
                <w:i/>
                <w:iCs/>
                <w:sz w:val="16"/>
                <w:szCs w:val="16"/>
                <w:lang w:val="et-EE" w:eastAsia="et-EE"/>
              </w:rPr>
              <w:t>sh muude vahendite arvelt (omaosalus)</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8"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3" w:type="dxa"/>
            <w:tcBorders>
              <w:top w:val="nil"/>
              <w:left w:val="single" w:sz="4" w:space="0" w:color="000000"/>
              <w:bottom w:val="single" w:sz="4" w:space="0" w:color="000000"/>
              <w:right w:val="single" w:sz="8"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r>
      <w:tr w:rsidR="00390547" w:rsidRPr="00390547" w:rsidTr="00390547">
        <w:trPr>
          <w:trHeight w:val="270"/>
        </w:trPr>
        <w:tc>
          <w:tcPr>
            <w:tcW w:w="2807" w:type="dxa"/>
            <w:tcBorders>
              <w:top w:val="nil"/>
              <w:left w:val="single" w:sz="8" w:space="0" w:color="000000"/>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b/>
                <w:bCs/>
                <w:sz w:val="16"/>
                <w:szCs w:val="16"/>
                <w:lang w:val="et-EE" w:eastAsia="et-EE"/>
              </w:rPr>
            </w:pPr>
            <w:r w:rsidRPr="00390547">
              <w:rPr>
                <w:rFonts w:ascii="Arial" w:hAnsi="Arial" w:cs="Arial"/>
                <w:b/>
                <w:bCs/>
                <w:sz w:val="16"/>
                <w:szCs w:val="16"/>
                <w:lang w:val="et-EE" w:eastAsia="et-EE"/>
              </w:rPr>
              <w:t>03 Avalik kord ja julgeolek</w:t>
            </w:r>
          </w:p>
        </w:tc>
        <w:tc>
          <w:tcPr>
            <w:tcW w:w="727"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rPr>
                <w:rFonts w:ascii="Arial" w:hAnsi="Arial" w:cs="Arial"/>
                <w:b/>
                <w:bCs/>
                <w:sz w:val="16"/>
                <w:szCs w:val="16"/>
                <w:lang w:val="et-EE" w:eastAsia="et-EE"/>
              </w:rPr>
            </w:pPr>
            <w:r w:rsidRPr="00390547">
              <w:rPr>
                <w:rFonts w:ascii="Arial" w:hAnsi="Arial" w:cs="Arial"/>
                <w:b/>
                <w:bCs/>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c>
          <w:tcPr>
            <w:tcW w:w="993"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c>
          <w:tcPr>
            <w:tcW w:w="992" w:type="dxa"/>
            <w:tcBorders>
              <w:top w:val="nil"/>
              <w:left w:val="nil"/>
              <w:bottom w:val="single" w:sz="4" w:space="0" w:color="000000"/>
              <w:right w:val="single" w:sz="8"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r>
      <w:tr w:rsidR="00390547" w:rsidRPr="00390547" w:rsidTr="00390547">
        <w:trPr>
          <w:trHeight w:val="270"/>
        </w:trPr>
        <w:tc>
          <w:tcPr>
            <w:tcW w:w="2807" w:type="dxa"/>
            <w:tcBorders>
              <w:top w:val="nil"/>
              <w:left w:val="single" w:sz="8" w:space="0" w:color="000000"/>
              <w:bottom w:val="single" w:sz="4" w:space="0" w:color="000000"/>
              <w:right w:val="single" w:sz="4" w:space="0" w:color="000000"/>
            </w:tcBorders>
            <w:shd w:val="clear" w:color="auto" w:fill="auto"/>
            <w:vAlign w:val="bottom"/>
            <w:hideMark/>
          </w:tcPr>
          <w:p w:rsidR="00390547" w:rsidRPr="00390547" w:rsidRDefault="00390547" w:rsidP="00390547">
            <w:pPr>
              <w:rPr>
                <w:rFonts w:ascii="Arial" w:hAnsi="Arial" w:cs="Arial"/>
                <w:i/>
                <w:iCs/>
                <w:sz w:val="16"/>
                <w:szCs w:val="16"/>
                <w:lang w:val="et-EE" w:eastAsia="et-EE"/>
              </w:rPr>
            </w:pPr>
            <w:r w:rsidRPr="00390547">
              <w:rPr>
                <w:rFonts w:ascii="Arial" w:hAnsi="Arial" w:cs="Arial"/>
                <w:i/>
                <w:iCs/>
                <w:sz w:val="16"/>
                <w:szCs w:val="16"/>
                <w:lang w:val="et-EE" w:eastAsia="et-EE"/>
              </w:rPr>
              <w:t>sh toetuse arvelt</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8"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3" w:type="dxa"/>
            <w:tcBorders>
              <w:top w:val="nil"/>
              <w:left w:val="single" w:sz="4" w:space="0" w:color="000000"/>
              <w:bottom w:val="single" w:sz="4" w:space="0" w:color="000000"/>
              <w:right w:val="single" w:sz="8"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r>
      <w:tr w:rsidR="00390547" w:rsidRPr="00390547" w:rsidTr="00390547">
        <w:trPr>
          <w:trHeight w:val="270"/>
        </w:trPr>
        <w:tc>
          <w:tcPr>
            <w:tcW w:w="2807" w:type="dxa"/>
            <w:tcBorders>
              <w:top w:val="nil"/>
              <w:left w:val="single" w:sz="8" w:space="0" w:color="000000"/>
              <w:bottom w:val="single" w:sz="4" w:space="0" w:color="000000"/>
              <w:right w:val="single" w:sz="4" w:space="0" w:color="000000"/>
            </w:tcBorders>
            <w:shd w:val="clear" w:color="auto" w:fill="auto"/>
            <w:vAlign w:val="bottom"/>
            <w:hideMark/>
          </w:tcPr>
          <w:p w:rsidR="00390547" w:rsidRPr="00390547" w:rsidRDefault="00390547" w:rsidP="00390547">
            <w:pPr>
              <w:rPr>
                <w:rFonts w:ascii="Arial" w:hAnsi="Arial" w:cs="Arial"/>
                <w:i/>
                <w:iCs/>
                <w:sz w:val="16"/>
                <w:szCs w:val="16"/>
                <w:lang w:val="et-EE" w:eastAsia="et-EE"/>
              </w:rPr>
            </w:pPr>
            <w:r w:rsidRPr="00390547">
              <w:rPr>
                <w:rFonts w:ascii="Arial" w:hAnsi="Arial" w:cs="Arial"/>
                <w:i/>
                <w:iCs/>
                <w:sz w:val="16"/>
                <w:szCs w:val="16"/>
                <w:lang w:val="et-EE" w:eastAsia="et-EE"/>
              </w:rPr>
              <w:t>sh muude vahendite arvelt (omaosalus)</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8"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3" w:type="dxa"/>
            <w:tcBorders>
              <w:top w:val="nil"/>
              <w:left w:val="single" w:sz="4" w:space="0" w:color="000000"/>
              <w:bottom w:val="single" w:sz="4" w:space="0" w:color="000000"/>
              <w:right w:val="single" w:sz="8"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r>
      <w:tr w:rsidR="00390547" w:rsidRPr="00390547" w:rsidTr="00390547">
        <w:trPr>
          <w:trHeight w:val="270"/>
        </w:trPr>
        <w:tc>
          <w:tcPr>
            <w:tcW w:w="2807" w:type="dxa"/>
            <w:tcBorders>
              <w:top w:val="nil"/>
              <w:left w:val="single" w:sz="8" w:space="0" w:color="000000"/>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b/>
                <w:bCs/>
                <w:sz w:val="16"/>
                <w:szCs w:val="16"/>
                <w:lang w:val="et-EE" w:eastAsia="et-EE"/>
              </w:rPr>
            </w:pPr>
            <w:r w:rsidRPr="00390547">
              <w:rPr>
                <w:rFonts w:ascii="Arial" w:hAnsi="Arial" w:cs="Arial"/>
                <w:b/>
                <w:bCs/>
                <w:sz w:val="16"/>
                <w:szCs w:val="16"/>
                <w:lang w:val="et-EE" w:eastAsia="et-EE"/>
              </w:rPr>
              <w:t>04 Majandus</w:t>
            </w:r>
          </w:p>
        </w:tc>
        <w:tc>
          <w:tcPr>
            <w:tcW w:w="727"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rPr>
                <w:rFonts w:ascii="Arial" w:hAnsi="Arial" w:cs="Arial"/>
                <w:b/>
                <w:bCs/>
                <w:sz w:val="16"/>
                <w:szCs w:val="16"/>
                <w:lang w:val="et-EE" w:eastAsia="et-EE"/>
              </w:rPr>
            </w:pPr>
            <w:r w:rsidRPr="00390547">
              <w:rPr>
                <w:rFonts w:ascii="Arial" w:hAnsi="Arial" w:cs="Arial"/>
                <w:b/>
                <w:bCs/>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331 500</w:t>
            </w:r>
          </w:p>
        </w:tc>
        <w:tc>
          <w:tcPr>
            <w:tcW w:w="993"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856 000</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751 400</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1 427 000</w:t>
            </w:r>
          </w:p>
        </w:tc>
        <w:tc>
          <w:tcPr>
            <w:tcW w:w="992" w:type="dxa"/>
            <w:tcBorders>
              <w:top w:val="nil"/>
              <w:left w:val="nil"/>
              <w:bottom w:val="single" w:sz="4" w:space="0" w:color="000000"/>
              <w:right w:val="single" w:sz="8"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1 469 566</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1 035 000</w:t>
            </w:r>
          </w:p>
        </w:tc>
      </w:tr>
      <w:tr w:rsidR="00390547" w:rsidRPr="00390547" w:rsidTr="00390547">
        <w:trPr>
          <w:trHeight w:val="270"/>
        </w:trPr>
        <w:tc>
          <w:tcPr>
            <w:tcW w:w="2807" w:type="dxa"/>
            <w:tcBorders>
              <w:top w:val="nil"/>
              <w:left w:val="single" w:sz="8" w:space="0" w:color="000000"/>
              <w:bottom w:val="single" w:sz="4" w:space="0" w:color="000000"/>
              <w:right w:val="single" w:sz="4" w:space="0" w:color="000000"/>
            </w:tcBorders>
            <w:shd w:val="clear" w:color="auto" w:fill="auto"/>
            <w:vAlign w:val="bottom"/>
            <w:hideMark/>
          </w:tcPr>
          <w:p w:rsidR="00390547" w:rsidRPr="00390547" w:rsidRDefault="00390547" w:rsidP="00390547">
            <w:pPr>
              <w:rPr>
                <w:rFonts w:ascii="Arial" w:hAnsi="Arial" w:cs="Arial"/>
                <w:i/>
                <w:iCs/>
                <w:sz w:val="16"/>
                <w:szCs w:val="16"/>
                <w:lang w:val="et-EE" w:eastAsia="et-EE"/>
              </w:rPr>
            </w:pPr>
            <w:r w:rsidRPr="00390547">
              <w:rPr>
                <w:rFonts w:ascii="Arial" w:hAnsi="Arial" w:cs="Arial"/>
                <w:i/>
                <w:iCs/>
                <w:sz w:val="16"/>
                <w:szCs w:val="16"/>
                <w:lang w:val="et-EE" w:eastAsia="et-EE"/>
              </w:rPr>
              <w:t>sh toetuse arvelt</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152 750</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519 738</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392 590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1 150 000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1 233 031</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1 000 000</w:t>
            </w:r>
          </w:p>
        </w:tc>
      </w:tr>
      <w:tr w:rsidR="00390547" w:rsidRPr="00390547" w:rsidTr="00390547">
        <w:trPr>
          <w:trHeight w:val="270"/>
        </w:trPr>
        <w:tc>
          <w:tcPr>
            <w:tcW w:w="2807" w:type="dxa"/>
            <w:tcBorders>
              <w:top w:val="nil"/>
              <w:left w:val="single" w:sz="8" w:space="0" w:color="000000"/>
              <w:bottom w:val="single" w:sz="4" w:space="0" w:color="000000"/>
              <w:right w:val="single" w:sz="4" w:space="0" w:color="000000"/>
            </w:tcBorders>
            <w:shd w:val="clear" w:color="auto" w:fill="auto"/>
            <w:vAlign w:val="bottom"/>
            <w:hideMark/>
          </w:tcPr>
          <w:p w:rsidR="00390547" w:rsidRPr="00390547" w:rsidRDefault="00390547" w:rsidP="00390547">
            <w:pPr>
              <w:rPr>
                <w:rFonts w:ascii="Arial" w:hAnsi="Arial" w:cs="Arial"/>
                <w:i/>
                <w:iCs/>
                <w:sz w:val="16"/>
                <w:szCs w:val="16"/>
                <w:lang w:val="et-EE" w:eastAsia="et-EE"/>
              </w:rPr>
            </w:pPr>
            <w:r w:rsidRPr="00390547">
              <w:rPr>
                <w:rFonts w:ascii="Arial" w:hAnsi="Arial" w:cs="Arial"/>
                <w:i/>
                <w:iCs/>
                <w:sz w:val="16"/>
                <w:szCs w:val="16"/>
                <w:lang w:val="et-EE" w:eastAsia="et-EE"/>
              </w:rPr>
              <w:t>sh muude vahendite arvelt (omaosalus)</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178 750</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336 262</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358 810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277 000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236 535</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35 000</w:t>
            </w:r>
          </w:p>
        </w:tc>
      </w:tr>
      <w:tr w:rsidR="00390547" w:rsidRPr="00390547" w:rsidTr="00390547">
        <w:trPr>
          <w:trHeight w:val="270"/>
        </w:trPr>
        <w:tc>
          <w:tcPr>
            <w:tcW w:w="2807" w:type="dxa"/>
            <w:tcBorders>
              <w:top w:val="nil"/>
              <w:left w:val="single" w:sz="8" w:space="0" w:color="000000"/>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b/>
                <w:bCs/>
                <w:sz w:val="16"/>
                <w:szCs w:val="16"/>
                <w:lang w:val="et-EE" w:eastAsia="et-EE"/>
              </w:rPr>
            </w:pPr>
            <w:r w:rsidRPr="00390547">
              <w:rPr>
                <w:rFonts w:ascii="Arial" w:hAnsi="Arial" w:cs="Arial"/>
                <w:b/>
                <w:bCs/>
                <w:sz w:val="16"/>
                <w:szCs w:val="16"/>
                <w:lang w:val="et-EE" w:eastAsia="et-EE"/>
              </w:rPr>
              <w:t>05 Keskkonnakaitse</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30 000</w:t>
            </w:r>
          </w:p>
        </w:tc>
        <w:tc>
          <w:tcPr>
            <w:tcW w:w="993"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50 000</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25 000</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25 000</w:t>
            </w:r>
          </w:p>
        </w:tc>
        <w:tc>
          <w:tcPr>
            <w:tcW w:w="992" w:type="dxa"/>
            <w:tcBorders>
              <w:top w:val="nil"/>
              <w:left w:val="nil"/>
              <w:bottom w:val="single" w:sz="4" w:space="0" w:color="000000"/>
              <w:right w:val="single" w:sz="8"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r>
      <w:tr w:rsidR="00390547" w:rsidRPr="00390547" w:rsidTr="00390547">
        <w:trPr>
          <w:trHeight w:val="270"/>
        </w:trPr>
        <w:tc>
          <w:tcPr>
            <w:tcW w:w="2807" w:type="dxa"/>
            <w:tcBorders>
              <w:top w:val="nil"/>
              <w:left w:val="single" w:sz="8" w:space="0" w:color="000000"/>
              <w:bottom w:val="single" w:sz="4" w:space="0" w:color="000000"/>
              <w:right w:val="single" w:sz="4" w:space="0" w:color="000000"/>
            </w:tcBorders>
            <w:shd w:val="clear" w:color="auto" w:fill="auto"/>
            <w:vAlign w:val="bottom"/>
            <w:hideMark/>
          </w:tcPr>
          <w:p w:rsidR="00390547" w:rsidRPr="00390547" w:rsidRDefault="00390547" w:rsidP="00390547">
            <w:pPr>
              <w:rPr>
                <w:rFonts w:ascii="Arial" w:hAnsi="Arial" w:cs="Arial"/>
                <w:i/>
                <w:iCs/>
                <w:sz w:val="16"/>
                <w:szCs w:val="16"/>
                <w:lang w:val="et-EE" w:eastAsia="et-EE"/>
              </w:rPr>
            </w:pPr>
            <w:r w:rsidRPr="00390547">
              <w:rPr>
                <w:rFonts w:ascii="Arial" w:hAnsi="Arial" w:cs="Arial"/>
                <w:i/>
                <w:iCs/>
                <w:sz w:val="16"/>
                <w:szCs w:val="16"/>
                <w:lang w:val="et-EE" w:eastAsia="et-EE"/>
              </w:rPr>
              <w:t>sh toetuse arvelt</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37 500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18 750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18 750</w:t>
            </w:r>
          </w:p>
        </w:tc>
        <w:tc>
          <w:tcPr>
            <w:tcW w:w="992" w:type="dxa"/>
            <w:tcBorders>
              <w:top w:val="nil"/>
              <w:left w:val="nil"/>
              <w:bottom w:val="single" w:sz="4" w:space="0" w:color="000000"/>
              <w:right w:val="single" w:sz="8"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3" w:type="dxa"/>
            <w:tcBorders>
              <w:top w:val="nil"/>
              <w:left w:val="single" w:sz="4" w:space="0" w:color="000000"/>
              <w:bottom w:val="single" w:sz="4" w:space="0" w:color="000000"/>
              <w:right w:val="single" w:sz="8" w:space="0" w:color="000000"/>
            </w:tcBorders>
            <w:shd w:val="clear" w:color="auto" w:fill="auto"/>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r>
      <w:tr w:rsidR="00390547" w:rsidRPr="00390547" w:rsidTr="00390547">
        <w:trPr>
          <w:trHeight w:val="225"/>
        </w:trPr>
        <w:tc>
          <w:tcPr>
            <w:tcW w:w="2807" w:type="dxa"/>
            <w:tcBorders>
              <w:top w:val="nil"/>
              <w:left w:val="single" w:sz="8" w:space="0" w:color="000000"/>
              <w:bottom w:val="single" w:sz="4" w:space="0" w:color="000000"/>
              <w:right w:val="single" w:sz="4" w:space="0" w:color="000000"/>
            </w:tcBorders>
            <w:shd w:val="clear" w:color="auto" w:fill="auto"/>
            <w:vAlign w:val="bottom"/>
            <w:hideMark/>
          </w:tcPr>
          <w:p w:rsidR="00390547" w:rsidRPr="00390547" w:rsidRDefault="00390547" w:rsidP="00390547">
            <w:pPr>
              <w:rPr>
                <w:rFonts w:ascii="Arial" w:hAnsi="Arial" w:cs="Arial"/>
                <w:i/>
                <w:iCs/>
                <w:sz w:val="16"/>
                <w:szCs w:val="16"/>
                <w:lang w:val="et-EE" w:eastAsia="et-EE"/>
              </w:rPr>
            </w:pPr>
            <w:r w:rsidRPr="00390547">
              <w:rPr>
                <w:rFonts w:ascii="Arial" w:hAnsi="Arial" w:cs="Arial"/>
                <w:i/>
                <w:iCs/>
                <w:sz w:val="16"/>
                <w:szCs w:val="16"/>
                <w:lang w:val="et-EE" w:eastAsia="et-EE"/>
              </w:rPr>
              <w:t>sh muude vahendite arvelt (omaosalus)</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30 000</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12 500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6 250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6 250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r>
      <w:tr w:rsidR="00390547" w:rsidRPr="00390547" w:rsidTr="00390547">
        <w:trPr>
          <w:trHeight w:val="225"/>
        </w:trPr>
        <w:tc>
          <w:tcPr>
            <w:tcW w:w="2807" w:type="dxa"/>
            <w:tcBorders>
              <w:top w:val="nil"/>
              <w:left w:val="single" w:sz="8" w:space="0" w:color="000000"/>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b/>
                <w:bCs/>
                <w:sz w:val="16"/>
                <w:szCs w:val="16"/>
                <w:lang w:val="et-EE" w:eastAsia="et-EE"/>
              </w:rPr>
            </w:pPr>
            <w:r w:rsidRPr="00390547">
              <w:rPr>
                <w:rFonts w:ascii="Arial" w:hAnsi="Arial" w:cs="Arial"/>
                <w:b/>
                <w:bCs/>
                <w:sz w:val="16"/>
                <w:szCs w:val="16"/>
                <w:lang w:val="et-EE" w:eastAsia="et-EE"/>
              </w:rPr>
              <w:t>06 Elamu- ja kommunaalmajandus</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204 000</w:t>
            </w:r>
          </w:p>
        </w:tc>
        <w:tc>
          <w:tcPr>
            <w:tcW w:w="993"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800 202</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c>
          <w:tcPr>
            <w:tcW w:w="992" w:type="dxa"/>
            <w:tcBorders>
              <w:top w:val="nil"/>
              <w:left w:val="nil"/>
              <w:bottom w:val="single" w:sz="4" w:space="0" w:color="000000"/>
              <w:right w:val="single" w:sz="8"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r>
      <w:tr w:rsidR="00390547" w:rsidRPr="00390547" w:rsidTr="00390547">
        <w:trPr>
          <w:trHeight w:val="225"/>
        </w:trPr>
        <w:tc>
          <w:tcPr>
            <w:tcW w:w="2807" w:type="dxa"/>
            <w:tcBorders>
              <w:top w:val="nil"/>
              <w:left w:val="single" w:sz="8" w:space="0" w:color="000000"/>
              <w:bottom w:val="single" w:sz="4" w:space="0" w:color="000000"/>
              <w:right w:val="single" w:sz="4" w:space="0" w:color="000000"/>
            </w:tcBorders>
            <w:shd w:val="clear" w:color="auto" w:fill="auto"/>
            <w:vAlign w:val="bottom"/>
            <w:hideMark/>
          </w:tcPr>
          <w:p w:rsidR="00390547" w:rsidRPr="00390547" w:rsidRDefault="00390547" w:rsidP="00390547">
            <w:pPr>
              <w:rPr>
                <w:rFonts w:ascii="Arial" w:hAnsi="Arial" w:cs="Arial"/>
                <w:i/>
                <w:iCs/>
                <w:sz w:val="16"/>
                <w:szCs w:val="16"/>
                <w:lang w:val="et-EE" w:eastAsia="et-EE"/>
              </w:rPr>
            </w:pPr>
            <w:r w:rsidRPr="00390547">
              <w:rPr>
                <w:rFonts w:ascii="Arial" w:hAnsi="Arial" w:cs="Arial"/>
                <w:i/>
                <w:iCs/>
                <w:sz w:val="16"/>
                <w:szCs w:val="16"/>
                <w:lang w:val="et-EE" w:eastAsia="et-EE"/>
              </w:rPr>
              <w:t>sh toetuse arvelt</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94 000</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488 063</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r>
      <w:tr w:rsidR="00390547" w:rsidRPr="00390547" w:rsidTr="00390547">
        <w:trPr>
          <w:trHeight w:val="225"/>
        </w:trPr>
        <w:tc>
          <w:tcPr>
            <w:tcW w:w="2807" w:type="dxa"/>
            <w:tcBorders>
              <w:top w:val="nil"/>
              <w:left w:val="single" w:sz="8" w:space="0" w:color="000000"/>
              <w:bottom w:val="single" w:sz="4" w:space="0" w:color="000000"/>
              <w:right w:val="single" w:sz="4" w:space="0" w:color="000000"/>
            </w:tcBorders>
            <w:shd w:val="clear" w:color="auto" w:fill="auto"/>
            <w:vAlign w:val="bottom"/>
            <w:hideMark/>
          </w:tcPr>
          <w:p w:rsidR="00390547" w:rsidRPr="00390547" w:rsidRDefault="00390547" w:rsidP="00390547">
            <w:pPr>
              <w:rPr>
                <w:rFonts w:ascii="Arial" w:hAnsi="Arial" w:cs="Arial"/>
                <w:i/>
                <w:iCs/>
                <w:sz w:val="16"/>
                <w:szCs w:val="16"/>
                <w:lang w:val="et-EE" w:eastAsia="et-EE"/>
              </w:rPr>
            </w:pPr>
            <w:r w:rsidRPr="00390547">
              <w:rPr>
                <w:rFonts w:ascii="Arial" w:hAnsi="Arial" w:cs="Arial"/>
                <w:i/>
                <w:iCs/>
                <w:sz w:val="16"/>
                <w:szCs w:val="16"/>
                <w:lang w:val="et-EE" w:eastAsia="et-EE"/>
              </w:rPr>
              <w:t>sh muude vahendite arvelt (omaosalus)</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110 000</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312 139</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r>
      <w:tr w:rsidR="00390547" w:rsidRPr="00390547" w:rsidTr="00390547">
        <w:trPr>
          <w:trHeight w:val="225"/>
        </w:trPr>
        <w:tc>
          <w:tcPr>
            <w:tcW w:w="2807" w:type="dxa"/>
            <w:tcBorders>
              <w:top w:val="nil"/>
              <w:left w:val="single" w:sz="8" w:space="0" w:color="000000"/>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b/>
                <w:bCs/>
                <w:sz w:val="16"/>
                <w:szCs w:val="16"/>
                <w:lang w:val="et-EE" w:eastAsia="et-EE"/>
              </w:rPr>
            </w:pPr>
            <w:r w:rsidRPr="00390547">
              <w:rPr>
                <w:rFonts w:ascii="Arial" w:hAnsi="Arial" w:cs="Arial"/>
                <w:b/>
                <w:bCs/>
                <w:sz w:val="16"/>
                <w:szCs w:val="16"/>
                <w:lang w:val="et-EE" w:eastAsia="et-EE"/>
              </w:rPr>
              <w:t>08 Vabaaeg, kultuur ja religioon</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69 300</w:t>
            </w:r>
          </w:p>
        </w:tc>
        <w:tc>
          <w:tcPr>
            <w:tcW w:w="993"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95 000</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70 000</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80 000</w:t>
            </w:r>
          </w:p>
        </w:tc>
        <w:tc>
          <w:tcPr>
            <w:tcW w:w="992" w:type="dxa"/>
            <w:tcBorders>
              <w:top w:val="nil"/>
              <w:left w:val="nil"/>
              <w:bottom w:val="single" w:sz="4" w:space="0" w:color="000000"/>
              <w:right w:val="single" w:sz="8"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80 000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80 000</w:t>
            </w:r>
          </w:p>
        </w:tc>
      </w:tr>
      <w:tr w:rsidR="00390547" w:rsidRPr="00390547" w:rsidTr="00390547">
        <w:trPr>
          <w:trHeight w:val="225"/>
        </w:trPr>
        <w:tc>
          <w:tcPr>
            <w:tcW w:w="2807" w:type="dxa"/>
            <w:tcBorders>
              <w:top w:val="nil"/>
              <w:left w:val="single" w:sz="8" w:space="0" w:color="000000"/>
              <w:bottom w:val="single" w:sz="4" w:space="0" w:color="000000"/>
              <w:right w:val="single" w:sz="4" w:space="0" w:color="000000"/>
            </w:tcBorders>
            <w:shd w:val="clear" w:color="auto" w:fill="auto"/>
            <w:vAlign w:val="bottom"/>
            <w:hideMark/>
          </w:tcPr>
          <w:p w:rsidR="00390547" w:rsidRPr="00390547" w:rsidRDefault="00390547" w:rsidP="00390547">
            <w:pPr>
              <w:rPr>
                <w:rFonts w:ascii="Arial" w:hAnsi="Arial" w:cs="Arial"/>
                <w:i/>
                <w:iCs/>
                <w:sz w:val="16"/>
                <w:szCs w:val="16"/>
                <w:lang w:val="et-EE" w:eastAsia="et-EE"/>
              </w:rPr>
            </w:pPr>
            <w:r w:rsidRPr="00390547">
              <w:rPr>
                <w:rFonts w:ascii="Arial" w:hAnsi="Arial" w:cs="Arial"/>
                <w:i/>
                <w:iCs/>
                <w:sz w:val="16"/>
                <w:szCs w:val="16"/>
                <w:lang w:val="et-EE" w:eastAsia="et-EE"/>
              </w:rPr>
              <w:t>sh toetuse arvelt</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20 000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50 000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50 000</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50 000</w:t>
            </w:r>
          </w:p>
        </w:tc>
      </w:tr>
      <w:tr w:rsidR="00390547" w:rsidRPr="00390547" w:rsidTr="00390547">
        <w:trPr>
          <w:trHeight w:val="225"/>
        </w:trPr>
        <w:tc>
          <w:tcPr>
            <w:tcW w:w="2807" w:type="dxa"/>
            <w:tcBorders>
              <w:top w:val="nil"/>
              <w:left w:val="single" w:sz="8" w:space="0" w:color="000000"/>
              <w:bottom w:val="single" w:sz="4" w:space="0" w:color="000000"/>
              <w:right w:val="single" w:sz="4" w:space="0" w:color="000000"/>
            </w:tcBorders>
            <w:shd w:val="clear" w:color="auto" w:fill="auto"/>
            <w:vAlign w:val="bottom"/>
            <w:hideMark/>
          </w:tcPr>
          <w:p w:rsidR="00390547" w:rsidRPr="00390547" w:rsidRDefault="00390547" w:rsidP="00390547">
            <w:pPr>
              <w:rPr>
                <w:rFonts w:ascii="Arial" w:hAnsi="Arial" w:cs="Arial"/>
                <w:i/>
                <w:iCs/>
                <w:sz w:val="16"/>
                <w:szCs w:val="16"/>
                <w:lang w:val="et-EE" w:eastAsia="et-EE"/>
              </w:rPr>
            </w:pPr>
            <w:r w:rsidRPr="00390547">
              <w:rPr>
                <w:rFonts w:ascii="Arial" w:hAnsi="Arial" w:cs="Arial"/>
                <w:i/>
                <w:iCs/>
                <w:sz w:val="16"/>
                <w:szCs w:val="16"/>
                <w:lang w:val="et-EE" w:eastAsia="et-EE"/>
              </w:rPr>
              <w:t>sh muude vahendite arvelt (omaosalus)</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69 300</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75 000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70 000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30 000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30 000</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30 000</w:t>
            </w:r>
          </w:p>
        </w:tc>
      </w:tr>
      <w:tr w:rsidR="00390547" w:rsidRPr="00390547" w:rsidTr="00390547">
        <w:trPr>
          <w:trHeight w:val="225"/>
        </w:trPr>
        <w:tc>
          <w:tcPr>
            <w:tcW w:w="2807" w:type="dxa"/>
            <w:tcBorders>
              <w:top w:val="nil"/>
              <w:left w:val="single" w:sz="8" w:space="0" w:color="000000"/>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b/>
                <w:bCs/>
                <w:sz w:val="16"/>
                <w:szCs w:val="16"/>
                <w:lang w:val="et-EE" w:eastAsia="et-EE"/>
              </w:rPr>
            </w:pPr>
            <w:r w:rsidRPr="00390547">
              <w:rPr>
                <w:rFonts w:ascii="Arial" w:hAnsi="Arial" w:cs="Arial"/>
                <w:b/>
                <w:bCs/>
                <w:sz w:val="16"/>
                <w:szCs w:val="16"/>
                <w:lang w:val="et-EE" w:eastAsia="et-EE"/>
              </w:rPr>
              <w:t>09 Haridus</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1 124 880</w:t>
            </w:r>
          </w:p>
        </w:tc>
        <w:tc>
          <w:tcPr>
            <w:tcW w:w="993"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1 888 625</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270 000</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c>
          <w:tcPr>
            <w:tcW w:w="992" w:type="dxa"/>
            <w:tcBorders>
              <w:top w:val="nil"/>
              <w:left w:val="nil"/>
              <w:bottom w:val="single" w:sz="4" w:space="0" w:color="000000"/>
              <w:right w:val="single" w:sz="8"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10 000</w:t>
            </w:r>
          </w:p>
        </w:tc>
      </w:tr>
      <w:tr w:rsidR="00390547" w:rsidRPr="00390547" w:rsidTr="00390547">
        <w:trPr>
          <w:trHeight w:val="225"/>
        </w:trPr>
        <w:tc>
          <w:tcPr>
            <w:tcW w:w="2807" w:type="dxa"/>
            <w:tcBorders>
              <w:top w:val="nil"/>
              <w:left w:val="single" w:sz="8" w:space="0" w:color="000000"/>
              <w:bottom w:val="single" w:sz="4" w:space="0" w:color="000000"/>
              <w:right w:val="single" w:sz="4" w:space="0" w:color="000000"/>
            </w:tcBorders>
            <w:shd w:val="clear" w:color="auto" w:fill="auto"/>
            <w:vAlign w:val="bottom"/>
            <w:hideMark/>
          </w:tcPr>
          <w:p w:rsidR="00390547" w:rsidRPr="00390547" w:rsidRDefault="00390547" w:rsidP="00390547">
            <w:pPr>
              <w:rPr>
                <w:rFonts w:ascii="Arial" w:hAnsi="Arial" w:cs="Arial"/>
                <w:i/>
                <w:iCs/>
                <w:sz w:val="16"/>
                <w:szCs w:val="16"/>
                <w:lang w:val="et-EE" w:eastAsia="et-EE"/>
              </w:rPr>
            </w:pPr>
            <w:r w:rsidRPr="00390547">
              <w:rPr>
                <w:rFonts w:ascii="Arial" w:hAnsi="Arial" w:cs="Arial"/>
                <w:i/>
                <w:iCs/>
                <w:sz w:val="16"/>
                <w:szCs w:val="16"/>
                <w:lang w:val="et-EE" w:eastAsia="et-EE"/>
              </w:rPr>
              <w:t>sh toetuse arvelt</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759 342</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958 554</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120 000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r>
      <w:tr w:rsidR="00390547" w:rsidRPr="00390547" w:rsidTr="00390547">
        <w:trPr>
          <w:trHeight w:val="225"/>
        </w:trPr>
        <w:tc>
          <w:tcPr>
            <w:tcW w:w="2807" w:type="dxa"/>
            <w:tcBorders>
              <w:top w:val="nil"/>
              <w:left w:val="single" w:sz="8" w:space="0" w:color="000000"/>
              <w:bottom w:val="single" w:sz="4" w:space="0" w:color="000000"/>
              <w:right w:val="single" w:sz="4" w:space="0" w:color="000000"/>
            </w:tcBorders>
            <w:shd w:val="clear" w:color="auto" w:fill="auto"/>
            <w:vAlign w:val="bottom"/>
            <w:hideMark/>
          </w:tcPr>
          <w:p w:rsidR="00390547" w:rsidRPr="00390547" w:rsidRDefault="00390547" w:rsidP="00390547">
            <w:pPr>
              <w:rPr>
                <w:rFonts w:ascii="Arial" w:hAnsi="Arial" w:cs="Arial"/>
                <w:i/>
                <w:iCs/>
                <w:sz w:val="16"/>
                <w:szCs w:val="16"/>
                <w:lang w:val="et-EE" w:eastAsia="et-EE"/>
              </w:rPr>
            </w:pPr>
            <w:r w:rsidRPr="00390547">
              <w:rPr>
                <w:rFonts w:ascii="Arial" w:hAnsi="Arial" w:cs="Arial"/>
                <w:i/>
                <w:iCs/>
                <w:sz w:val="16"/>
                <w:szCs w:val="16"/>
                <w:lang w:val="et-EE" w:eastAsia="et-EE"/>
              </w:rPr>
              <w:t xml:space="preserve">sh muude vahendite arvelt </w:t>
            </w:r>
            <w:r w:rsidRPr="00390547">
              <w:rPr>
                <w:rFonts w:ascii="Arial" w:hAnsi="Arial" w:cs="Arial"/>
                <w:i/>
                <w:iCs/>
                <w:sz w:val="16"/>
                <w:szCs w:val="16"/>
                <w:lang w:val="et-EE" w:eastAsia="et-EE"/>
              </w:rPr>
              <w:lastRenderedPageBreak/>
              <w:t>(omaosalus)</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lastRenderedPageBreak/>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365 538</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930 071</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150 000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10 000</w:t>
            </w:r>
          </w:p>
        </w:tc>
      </w:tr>
      <w:tr w:rsidR="00390547" w:rsidRPr="00390547" w:rsidTr="00390547">
        <w:trPr>
          <w:trHeight w:val="225"/>
        </w:trPr>
        <w:tc>
          <w:tcPr>
            <w:tcW w:w="2807" w:type="dxa"/>
            <w:tcBorders>
              <w:top w:val="nil"/>
              <w:left w:val="single" w:sz="8" w:space="0" w:color="000000"/>
              <w:bottom w:val="single" w:sz="4" w:space="0" w:color="000000"/>
              <w:right w:val="single" w:sz="4" w:space="0" w:color="000000"/>
            </w:tcBorders>
            <w:shd w:val="clear" w:color="auto" w:fill="auto"/>
            <w:noWrap/>
            <w:vAlign w:val="bottom"/>
            <w:hideMark/>
          </w:tcPr>
          <w:p w:rsidR="00390547" w:rsidRPr="00390547" w:rsidRDefault="00390547" w:rsidP="00390547">
            <w:pPr>
              <w:rPr>
                <w:rFonts w:ascii="Arial" w:hAnsi="Arial" w:cs="Arial"/>
                <w:b/>
                <w:bCs/>
                <w:sz w:val="16"/>
                <w:szCs w:val="16"/>
                <w:lang w:val="et-EE" w:eastAsia="et-EE"/>
              </w:rPr>
            </w:pPr>
            <w:r w:rsidRPr="00390547">
              <w:rPr>
                <w:rFonts w:ascii="Arial" w:hAnsi="Arial" w:cs="Arial"/>
                <w:b/>
                <w:bCs/>
                <w:sz w:val="16"/>
                <w:szCs w:val="16"/>
                <w:lang w:val="et-EE" w:eastAsia="et-EE"/>
              </w:rPr>
              <w:t>10 Sotsiaalne kaitse</w:t>
            </w:r>
          </w:p>
        </w:tc>
        <w:tc>
          <w:tcPr>
            <w:tcW w:w="727"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rPr>
                <w:rFonts w:ascii="Arial" w:hAnsi="Arial" w:cs="Arial"/>
                <w:b/>
                <w:bCs/>
                <w:sz w:val="16"/>
                <w:szCs w:val="16"/>
                <w:lang w:val="et-EE" w:eastAsia="et-EE"/>
              </w:rPr>
            </w:pPr>
            <w:r w:rsidRPr="00390547">
              <w:rPr>
                <w:rFonts w:ascii="Arial" w:hAnsi="Arial" w:cs="Arial"/>
                <w:b/>
                <w:bCs/>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38 285</w:t>
            </w:r>
          </w:p>
        </w:tc>
        <w:tc>
          <w:tcPr>
            <w:tcW w:w="993"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404 865</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134 000</w:t>
            </w:r>
          </w:p>
        </w:tc>
        <w:tc>
          <w:tcPr>
            <w:tcW w:w="992" w:type="dxa"/>
            <w:tcBorders>
              <w:top w:val="nil"/>
              <w:left w:val="nil"/>
              <w:bottom w:val="single" w:sz="4" w:space="0" w:color="000000"/>
              <w:right w:val="single" w:sz="4"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c>
          <w:tcPr>
            <w:tcW w:w="992" w:type="dxa"/>
            <w:tcBorders>
              <w:top w:val="nil"/>
              <w:left w:val="nil"/>
              <w:bottom w:val="single" w:sz="4" w:space="0" w:color="000000"/>
              <w:right w:val="single" w:sz="8"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0</w:t>
            </w:r>
          </w:p>
        </w:tc>
      </w:tr>
      <w:tr w:rsidR="00390547" w:rsidRPr="00390547" w:rsidTr="00390547">
        <w:trPr>
          <w:trHeight w:val="225"/>
        </w:trPr>
        <w:tc>
          <w:tcPr>
            <w:tcW w:w="2807" w:type="dxa"/>
            <w:tcBorders>
              <w:top w:val="nil"/>
              <w:left w:val="single" w:sz="8" w:space="0" w:color="000000"/>
              <w:bottom w:val="single" w:sz="4" w:space="0" w:color="000000"/>
              <w:right w:val="single" w:sz="4" w:space="0" w:color="000000"/>
            </w:tcBorders>
            <w:shd w:val="clear" w:color="auto" w:fill="auto"/>
            <w:vAlign w:val="bottom"/>
            <w:hideMark/>
          </w:tcPr>
          <w:p w:rsidR="00390547" w:rsidRPr="00390547" w:rsidRDefault="00390547" w:rsidP="00390547">
            <w:pPr>
              <w:rPr>
                <w:rFonts w:ascii="Arial" w:hAnsi="Arial" w:cs="Arial"/>
                <w:i/>
                <w:iCs/>
                <w:sz w:val="16"/>
                <w:szCs w:val="16"/>
                <w:lang w:val="et-EE" w:eastAsia="et-EE"/>
              </w:rPr>
            </w:pPr>
            <w:r w:rsidRPr="00390547">
              <w:rPr>
                <w:rFonts w:ascii="Arial" w:hAnsi="Arial" w:cs="Arial"/>
                <w:i/>
                <w:iCs/>
                <w:sz w:val="16"/>
                <w:szCs w:val="16"/>
                <w:lang w:val="et-EE" w:eastAsia="et-EE"/>
              </w:rPr>
              <w:t>sh toetuse arvelt</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10 685</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187 015</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109 900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r>
      <w:tr w:rsidR="00390547" w:rsidRPr="00390547" w:rsidTr="00390547">
        <w:trPr>
          <w:trHeight w:val="225"/>
        </w:trPr>
        <w:tc>
          <w:tcPr>
            <w:tcW w:w="2807" w:type="dxa"/>
            <w:tcBorders>
              <w:top w:val="nil"/>
              <w:left w:val="single" w:sz="8" w:space="0" w:color="000000"/>
              <w:bottom w:val="single" w:sz="4" w:space="0" w:color="000000"/>
              <w:right w:val="single" w:sz="4" w:space="0" w:color="000000"/>
            </w:tcBorders>
            <w:shd w:val="clear" w:color="auto" w:fill="auto"/>
            <w:vAlign w:val="bottom"/>
            <w:hideMark/>
          </w:tcPr>
          <w:p w:rsidR="00390547" w:rsidRPr="00390547" w:rsidRDefault="00390547" w:rsidP="00390547">
            <w:pPr>
              <w:rPr>
                <w:rFonts w:ascii="Arial" w:hAnsi="Arial" w:cs="Arial"/>
                <w:i/>
                <w:iCs/>
                <w:sz w:val="16"/>
                <w:szCs w:val="16"/>
                <w:lang w:val="et-EE" w:eastAsia="et-EE"/>
              </w:rPr>
            </w:pPr>
            <w:r w:rsidRPr="00390547">
              <w:rPr>
                <w:rFonts w:ascii="Arial" w:hAnsi="Arial" w:cs="Arial"/>
                <w:i/>
                <w:iCs/>
                <w:sz w:val="16"/>
                <w:szCs w:val="16"/>
                <w:lang w:val="et-EE" w:eastAsia="et-EE"/>
              </w:rPr>
              <w:t>sh muude vahendite arvelt (omaosalus)</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27 600</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217 850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24 100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c>
          <w:tcPr>
            <w:tcW w:w="992"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c>
          <w:tcPr>
            <w:tcW w:w="993" w:type="dxa"/>
            <w:tcBorders>
              <w:top w:val="nil"/>
              <w:left w:val="nil"/>
              <w:bottom w:val="single" w:sz="4" w:space="0" w:color="000000"/>
              <w:right w:val="single" w:sz="4" w:space="0" w:color="000000"/>
            </w:tcBorders>
            <w:shd w:val="clear" w:color="auto" w:fill="auto"/>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0</w:t>
            </w:r>
          </w:p>
        </w:tc>
      </w:tr>
      <w:tr w:rsidR="00390547" w:rsidRPr="00390547" w:rsidTr="00390547">
        <w:trPr>
          <w:trHeight w:val="225"/>
        </w:trPr>
        <w:tc>
          <w:tcPr>
            <w:tcW w:w="2807" w:type="dxa"/>
            <w:tcBorders>
              <w:top w:val="nil"/>
              <w:left w:val="single" w:sz="8" w:space="0" w:color="000000"/>
              <w:bottom w:val="single" w:sz="4" w:space="0" w:color="000000"/>
              <w:right w:val="single" w:sz="4" w:space="0" w:color="000000"/>
            </w:tcBorders>
            <w:shd w:val="clear" w:color="00FFFF" w:fill="00FFFF"/>
            <w:vAlign w:val="bottom"/>
            <w:hideMark/>
          </w:tcPr>
          <w:p w:rsidR="00390547" w:rsidRPr="00390547" w:rsidRDefault="00390547" w:rsidP="00390547">
            <w:pPr>
              <w:rPr>
                <w:rFonts w:ascii="Arial" w:hAnsi="Arial" w:cs="Arial"/>
                <w:b/>
                <w:bCs/>
                <w:sz w:val="16"/>
                <w:szCs w:val="16"/>
                <w:lang w:val="et-EE" w:eastAsia="et-EE"/>
              </w:rPr>
            </w:pPr>
            <w:r w:rsidRPr="00390547">
              <w:rPr>
                <w:rFonts w:ascii="Arial" w:hAnsi="Arial" w:cs="Arial"/>
                <w:b/>
                <w:bCs/>
                <w:sz w:val="16"/>
                <w:szCs w:val="16"/>
                <w:lang w:val="et-EE" w:eastAsia="et-EE"/>
              </w:rPr>
              <w:t>KÕIK KOKKU</w:t>
            </w:r>
          </w:p>
        </w:tc>
        <w:tc>
          <w:tcPr>
            <w:tcW w:w="727" w:type="dxa"/>
            <w:tcBorders>
              <w:top w:val="nil"/>
              <w:left w:val="nil"/>
              <w:bottom w:val="single" w:sz="4" w:space="0" w:color="000000"/>
              <w:right w:val="single" w:sz="4" w:space="0" w:color="000000"/>
            </w:tcBorders>
            <w:shd w:val="clear" w:color="00FFFF" w:fill="00FFFF"/>
            <w:noWrap/>
            <w:vAlign w:val="bottom"/>
            <w:hideMark/>
          </w:tcPr>
          <w:p w:rsidR="00390547" w:rsidRPr="00390547" w:rsidRDefault="00390547" w:rsidP="00390547">
            <w:pPr>
              <w:rPr>
                <w:rFonts w:ascii="Arial" w:hAnsi="Arial" w:cs="Arial"/>
                <w:b/>
                <w:bCs/>
                <w:sz w:val="16"/>
                <w:szCs w:val="16"/>
                <w:lang w:val="et-EE" w:eastAsia="et-EE"/>
              </w:rPr>
            </w:pPr>
            <w:r w:rsidRPr="00390547">
              <w:rPr>
                <w:rFonts w:ascii="Arial" w:hAnsi="Arial" w:cs="Arial"/>
                <w:b/>
                <w:bCs/>
                <w:sz w:val="16"/>
                <w:szCs w:val="16"/>
                <w:lang w:val="et-EE" w:eastAsia="et-EE"/>
              </w:rPr>
              <w:t> </w:t>
            </w:r>
          </w:p>
        </w:tc>
        <w:tc>
          <w:tcPr>
            <w:tcW w:w="992" w:type="dxa"/>
            <w:tcBorders>
              <w:top w:val="nil"/>
              <w:left w:val="nil"/>
              <w:bottom w:val="single" w:sz="4" w:space="0" w:color="000000"/>
              <w:right w:val="single" w:sz="4" w:space="0" w:color="000000"/>
            </w:tcBorders>
            <w:shd w:val="clear" w:color="00FFFF" w:fill="00FFFF"/>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2 000 097</w:t>
            </w:r>
          </w:p>
        </w:tc>
        <w:tc>
          <w:tcPr>
            <w:tcW w:w="993" w:type="dxa"/>
            <w:tcBorders>
              <w:top w:val="nil"/>
              <w:left w:val="nil"/>
              <w:bottom w:val="single" w:sz="4" w:space="0" w:color="000000"/>
              <w:right w:val="single" w:sz="4" w:space="0" w:color="000000"/>
            </w:tcBorders>
            <w:shd w:val="clear" w:color="00FFFF" w:fill="00FFFF"/>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4 114 692</w:t>
            </w:r>
          </w:p>
        </w:tc>
        <w:tc>
          <w:tcPr>
            <w:tcW w:w="992" w:type="dxa"/>
            <w:tcBorders>
              <w:top w:val="nil"/>
              <w:left w:val="nil"/>
              <w:bottom w:val="single" w:sz="4" w:space="0" w:color="000000"/>
              <w:right w:val="single" w:sz="4" w:space="0" w:color="000000"/>
            </w:tcBorders>
            <w:shd w:val="clear" w:color="00FFFF" w:fill="00FFFF"/>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1 300 400</w:t>
            </w:r>
          </w:p>
        </w:tc>
        <w:tc>
          <w:tcPr>
            <w:tcW w:w="992" w:type="dxa"/>
            <w:tcBorders>
              <w:top w:val="nil"/>
              <w:left w:val="nil"/>
              <w:bottom w:val="single" w:sz="4" w:space="0" w:color="000000"/>
              <w:right w:val="single" w:sz="4" w:space="0" w:color="000000"/>
            </w:tcBorders>
            <w:shd w:val="clear" w:color="00FFFF" w:fill="00FFFF"/>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1 582 000</w:t>
            </w:r>
          </w:p>
        </w:tc>
        <w:tc>
          <w:tcPr>
            <w:tcW w:w="992" w:type="dxa"/>
            <w:tcBorders>
              <w:top w:val="nil"/>
              <w:left w:val="nil"/>
              <w:bottom w:val="single" w:sz="4" w:space="0" w:color="000000"/>
              <w:right w:val="single" w:sz="8" w:space="0" w:color="000000"/>
            </w:tcBorders>
            <w:shd w:val="clear" w:color="00FFFF" w:fill="00FFFF"/>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1 599 566</w:t>
            </w:r>
          </w:p>
        </w:tc>
        <w:tc>
          <w:tcPr>
            <w:tcW w:w="993" w:type="dxa"/>
            <w:tcBorders>
              <w:top w:val="nil"/>
              <w:left w:val="single" w:sz="4" w:space="0" w:color="000000"/>
              <w:bottom w:val="single" w:sz="4" w:space="0" w:color="000000"/>
              <w:right w:val="single" w:sz="8" w:space="0" w:color="000000"/>
            </w:tcBorders>
            <w:shd w:val="clear" w:color="00FFFF" w:fill="00FFFF"/>
            <w:noWrap/>
            <w:vAlign w:val="bottom"/>
            <w:hideMark/>
          </w:tcPr>
          <w:p w:rsidR="00390547" w:rsidRPr="00390547" w:rsidRDefault="00390547" w:rsidP="00390547">
            <w:pPr>
              <w:jc w:val="right"/>
              <w:rPr>
                <w:rFonts w:ascii="Arial" w:hAnsi="Arial" w:cs="Arial"/>
                <w:b/>
                <w:bCs/>
                <w:sz w:val="16"/>
                <w:szCs w:val="16"/>
                <w:lang w:val="et-EE" w:eastAsia="et-EE"/>
              </w:rPr>
            </w:pPr>
            <w:r w:rsidRPr="00390547">
              <w:rPr>
                <w:rFonts w:ascii="Arial" w:hAnsi="Arial" w:cs="Arial"/>
                <w:b/>
                <w:bCs/>
                <w:sz w:val="16"/>
                <w:szCs w:val="16"/>
                <w:lang w:val="et-EE" w:eastAsia="et-EE"/>
              </w:rPr>
              <w:t>1 175 000</w:t>
            </w:r>
          </w:p>
        </w:tc>
      </w:tr>
      <w:tr w:rsidR="00390547" w:rsidRPr="00390547" w:rsidTr="00390547">
        <w:trPr>
          <w:trHeight w:val="225"/>
        </w:trPr>
        <w:tc>
          <w:tcPr>
            <w:tcW w:w="2807" w:type="dxa"/>
            <w:tcBorders>
              <w:top w:val="nil"/>
              <w:left w:val="single" w:sz="8" w:space="0" w:color="000000"/>
              <w:bottom w:val="single" w:sz="4" w:space="0" w:color="000000"/>
              <w:right w:val="single" w:sz="4" w:space="0" w:color="000000"/>
            </w:tcBorders>
            <w:shd w:val="clear" w:color="auto" w:fill="auto"/>
            <w:vAlign w:val="bottom"/>
            <w:hideMark/>
          </w:tcPr>
          <w:p w:rsidR="00390547" w:rsidRPr="00390547" w:rsidRDefault="00390547" w:rsidP="00390547">
            <w:pPr>
              <w:rPr>
                <w:rFonts w:ascii="Arial" w:hAnsi="Arial" w:cs="Arial"/>
                <w:i/>
                <w:iCs/>
                <w:sz w:val="16"/>
                <w:szCs w:val="16"/>
                <w:lang w:val="et-EE" w:eastAsia="et-EE"/>
              </w:rPr>
            </w:pPr>
            <w:r w:rsidRPr="00390547">
              <w:rPr>
                <w:rFonts w:ascii="Arial" w:hAnsi="Arial" w:cs="Arial"/>
                <w:i/>
                <w:iCs/>
                <w:sz w:val="16"/>
                <w:szCs w:val="16"/>
                <w:lang w:val="et-EE" w:eastAsia="et-EE"/>
              </w:rPr>
              <w:t>sh toetuse arvelt</w:t>
            </w:r>
          </w:p>
        </w:tc>
        <w:tc>
          <w:tcPr>
            <w:tcW w:w="727"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1 016 777</w:t>
            </w:r>
          </w:p>
        </w:tc>
        <w:tc>
          <w:tcPr>
            <w:tcW w:w="993"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2 210 870</w:t>
            </w:r>
          </w:p>
        </w:tc>
        <w:tc>
          <w:tcPr>
            <w:tcW w:w="992"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641 240</w:t>
            </w:r>
          </w:p>
        </w:tc>
        <w:tc>
          <w:tcPr>
            <w:tcW w:w="992"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1 218 750</w:t>
            </w:r>
          </w:p>
        </w:tc>
        <w:tc>
          <w:tcPr>
            <w:tcW w:w="992"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1 283 031</w:t>
            </w:r>
          </w:p>
        </w:tc>
        <w:tc>
          <w:tcPr>
            <w:tcW w:w="993" w:type="dxa"/>
            <w:tcBorders>
              <w:top w:val="nil"/>
              <w:left w:val="nil"/>
              <w:bottom w:val="single" w:sz="4" w:space="0" w:color="000000"/>
              <w:right w:val="single" w:sz="4" w:space="0" w:color="000000"/>
            </w:tcBorders>
            <w:shd w:val="clear" w:color="A5A5A5" w:fill="A5A5A5"/>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1 050 000</w:t>
            </w:r>
          </w:p>
        </w:tc>
      </w:tr>
      <w:tr w:rsidR="00390547" w:rsidRPr="00390547" w:rsidTr="00390547">
        <w:trPr>
          <w:trHeight w:val="240"/>
        </w:trPr>
        <w:tc>
          <w:tcPr>
            <w:tcW w:w="2807" w:type="dxa"/>
            <w:tcBorders>
              <w:top w:val="nil"/>
              <w:left w:val="single" w:sz="8" w:space="0" w:color="000000"/>
              <w:bottom w:val="single" w:sz="8" w:space="0" w:color="000000"/>
              <w:right w:val="single" w:sz="4" w:space="0" w:color="000000"/>
            </w:tcBorders>
            <w:shd w:val="clear" w:color="auto" w:fill="auto"/>
            <w:vAlign w:val="bottom"/>
            <w:hideMark/>
          </w:tcPr>
          <w:p w:rsidR="00390547" w:rsidRPr="00390547" w:rsidRDefault="00390547" w:rsidP="00390547">
            <w:pPr>
              <w:rPr>
                <w:rFonts w:ascii="Arial" w:hAnsi="Arial" w:cs="Arial"/>
                <w:i/>
                <w:iCs/>
                <w:sz w:val="16"/>
                <w:szCs w:val="16"/>
                <w:lang w:val="et-EE" w:eastAsia="et-EE"/>
              </w:rPr>
            </w:pPr>
            <w:r w:rsidRPr="00390547">
              <w:rPr>
                <w:rFonts w:ascii="Arial" w:hAnsi="Arial" w:cs="Arial"/>
                <w:i/>
                <w:iCs/>
                <w:sz w:val="16"/>
                <w:szCs w:val="16"/>
                <w:lang w:val="et-EE" w:eastAsia="et-EE"/>
              </w:rPr>
              <w:t>sh muude vahendite arvelt (omaosalus)</w:t>
            </w:r>
          </w:p>
        </w:tc>
        <w:tc>
          <w:tcPr>
            <w:tcW w:w="727" w:type="dxa"/>
            <w:tcBorders>
              <w:top w:val="nil"/>
              <w:left w:val="nil"/>
              <w:bottom w:val="single" w:sz="8" w:space="0" w:color="000000"/>
              <w:right w:val="single" w:sz="4" w:space="0" w:color="000000"/>
            </w:tcBorders>
            <w:shd w:val="clear" w:color="969696" w:fill="969696"/>
            <w:noWrap/>
            <w:vAlign w:val="bottom"/>
            <w:hideMark/>
          </w:tcPr>
          <w:p w:rsidR="00390547" w:rsidRPr="00390547" w:rsidRDefault="00390547" w:rsidP="00390547">
            <w:pPr>
              <w:rPr>
                <w:rFonts w:ascii="Arial" w:hAnsi="Arial" w:cs="Arial"/>
                <w:sz w:val="16"/>
                <w:szCs w:val="16"/>
                <w:lang w:val="et-EE" w:eastAsia="et-EE"/>
              </w:rPr>
            </w:pPr>
            <w:r w:rsidRPr="00390547">
              <w:rPr>
                <w:rFonts w:ascii="Arial" w:hAnsi="Arial" w:cs="Arial"/>
                <w:sz w:val="16"/>
                <w:szCs w:val="16"/>
                <w:lang w:val="et-EE" w:eastAsia="et-EE"/>
              </w:rPr>
              <w:t> </w:t>
            </w:r>
          </w:p>
        </w:tc>
        <w:tc>
          <w:tcPr>
            <w:tcW w:w="992" w:type="dxa"/>
            <w:tcBorders>
              <w:top w:val="nil"/>
              <w:left w:val="nil"/>
              <w:bottom w:val="single" w:sz="8" w:space="0" w:color="000000"/>
              <w:right w:val="single" w:sz="4" w:space="0" w:color="000000"/>
            </w:tcBorders>
            <w:shd w:val="clear" w:color="A5A5A5" w:fill="A5A5A5"/>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983 320</w:t>
            </w:r>
          </w:p>
        </w:tc>
        <w:tc>
          <w:tcPr>
            <w:tcW w:w="993" w:type="dxa"/>
            <w:tcBorders>
              <w:top w:val="nil"/>
              <w:left w:val="nil"/>
              <w:bottom w:val="single" w:sz="8" w:space="0" w:color="000000"/>
              <w:right w:val="single" w:sz="4" w:space="0" w:color="000000"/>
            </w:tcBorders>
            <w:shd w:val="clear" w:color="A5A5A5" w:fill="A5A5A5"/>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1 903 822</w:t>
            </w:r>
          </w:p>
        </w:tc>
        <w:tc>
          <w:tcPr>
            <w:tcW w:w="992" w:type="dxa"/>
            <w:tcBorders>
              <w:top w:val="nil"/>
              <w:left w:val="nil"/>
              <w:bottom w:val="single" w:sz="8" w:space="0" w:color="000000"/>
              <w:right w:val="single" w:sz="4" w:space="0" w:color="000000"/>
            </w:tcBorders>
            <w:shd w:val="clear" w:color="A5A5A5" w:fill="A5A5A5"/>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659 160</w:t>
            </w:r>
          </w:p>
        </w:tc>
        <w:tc>
          <w:tcPr>
            <w:tcW w:w="992" w:type="dxa"/>
            <w:tcBorders>
              <w:top w:val="nil"/>
              <w:left w:val="nil"/>
              <w:bottom w:val="single" w:sz="8" w:space="0" w:color="000000"/>
              <w:right w:val="single" w:sz="4" w:space="0" w:color="000000"/>
            </w:tcBorders>
            <w:shd w:val="clear" w:color="A5A5A5" w:fill="A5A5A5"/>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363 250</w:t>
            </w:r>
          </w:p>
        </w:tc>
        <w:tc>
          <w:tcPr>
            <w:tcW w:w="992" w:type="dxa"/>
            <w:tcBorders>
              <w:top w:val="nil"/>
              <w:left w:val="nil"/>
              <w:bottom w:val="single" w:sz="8" w:space="0" w:color="000000"/>
              <w:right w:val="single" w:sz="4" w:space="0" w:color="000000"/>
            </w:tcBorders>
            <w:shd w:val="clear" w:color="A5A5A5" w:fill="A5A5A5"/>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316 535</w:t>
            </w:r>
          </w:p>
        </w:tc>
        <w:tc>
          <w:tcPr>
            <w:tcW w:w="993" w:type="dxa"/>
            <w:tcBorders>
              <w:top w:val="nil"/>
              <w:left w:val="nil"/>
              <w:bottom w:val="single" w:sz="8" w:space="0" w:color="000000"/>
              <w:right w:val="single" w:sz="4" w:space="0" w:color="000000"/>
            </w:tcBorders>
            <w:shd w:val="clear" w:color="A5A5A5" w:fill="A5A5A5"/>
            <w:noWrap/>
            <w:vAlign w:val="bottom"/>
            <w:hideMark/>
          </w:tcPr>
          <w:p w:rsidR="00390547" w:rsidRPr="00390547" w:rsidRDefault="00390547" w:rsidP="00390547">
            <w:pPr>
              <w:jc w:val="right"/>
              <w:rPr>
                <w:rFonts w:ascii="Arial" w:hAnsi="Arial" w:cs="Arial"/>
                <w:sz w:val="16"/>
                <w:szCs w:val="16"/>
                <w:lang w:val="et-EE" w:eastAsia="et-EE"/>
              </w:rPr>
            </w:pPr>
            <w:r w:rsidRPr="00390547">
              <w:rPr>
                <w:rFonts w:ascii="Arial" w:hAnsi="Arial" w:cs="Arial"/>
                <w:sz w:val="16"/>
                <w:szCs w:val="16"/>
                <w:lang w:val="et-EE" w:eastAsia="et-EE"/>
              </w:rPr>
              <w:t>125 000</w:t>
            </w:r>
          </w:p>
        </w:tc>
      </w:tr>
    </w:tbl>
    <w:p w:rsidR="00390547" w:rsidRPr="006B14A4" w:rsidRDefault="00390547" w:rsidP="00924C20">
      <w:pPr>
        <w:jc w:val="both"/>
        <w:rPr>
          <w:rFonts w:ascii="Trebuchet MS" w:hAnsi="Trebuchet MS"/>
          <w:lang w:val="et-EE"/>
        </w:rPr>
      </w:pPr>
    </w:p>
    <w:p w:rsidR="00924C20" w:rsidRPr="00DE30D7" w:rsidRDefault="00D24B82" w:rsidP="00924C20">
      <w:pPr>
        <w:rPr>
          <w:b/>
          <w:sz w:val="20"/>
          <w:szCs w:val="20"/>
          <w:lang w:val="et-EE"/>
        </w:rPr>
      </w:pPr>
      <w:r w:rsidRPr="00DE30D7">
        <w:rPr>
          <w:b/>
          <w:sz w:val="20"/>
          <w:szCs w:val="20"/>
          <w:lang w:val="et-EE"/>
        </w:rPr>
        <w:t xml:space="preserve">Tabel 8. Viru-Nigula valla investeeringud valdkonna </w:t>
      </w:r>
      <w:r w:rsidR="009143F4">
        <w:rPr>
          <w:b/>
          <w:sz w:val="20"/>
          <w:szCs w:val="20"/>
          <w:lang w:val="et-EE"/>
        </w:rPr>
        <w:t>lõikes.</w:t>
      </w:r>
    </w:p>
    <w:p w:rsidR="00D24B82" w:rsidRDefault="00D24B82" w:rsidP="00E4636B">
      <w:pPr>
        <w:jc w:val="both"/>
        <w:rPr>
          <w:rFonts w:ascii="Trebuchet MS" w:hAnsi="Trebuchet MS"/>
          <w:lang w:val="et-EE"/>
        </w:rPr>
      </w:pPr>
    </w:p>
    <w:p w:rsidR="000A3EC6" w:rsidRPr="00DE30D7" w:rsidRDefault="000A3EC6" w:rsidP="00851132">
      <w:pPr>
        <w:spacing w:line="276" w:lineRule="auto"/>
        <w:jc w:val="both"/>
        <w:rPr>
          <w:lang w:val="et-EE"/>
        </w:rPr>
      </w:pPr>
      <w:r w:rsidRPr="00DE30D7">
        <w:rPr>
          <w:lang w:val="et-EE"/>
        </w:rPr>
        <w:t>Tabel 9 iseloomustab Viru-Nigula valla</w:t>
      </w:r>
      <w:r w:rsidR="00E4636B" w:rsidRPr="00DE30D7">
        <w:rPr>
          <w:lang w:val="et-EE"/>
        </w:rPr>
        <w:t xml:space="preserve"> </w:t>
      </w:r>
      <w:r w:rsidRPr="00DE30D7">
        <w:rPr>
          <w:lang w:val="et-EE"/>
        </w:rPr>
        <w:t>eelarvest kavandatud i</w:t>
      </w:r>
      <w:r w:rsidR="00924C20" w:rsidRPr="00DE30D7">
        <w:rPr>
          <w:lang w:val="et-EE"/>
        </w:rPr>
        <w:t>nvesteeringud objektide lõikes</w:t>
      </w:r>
      <w:r w:rsidR="00B1324A" w:rsidRPr="00DE30D7">
        <w:rPr>
          <w:lang w:val="et-EE"/>
        </w:rPr>
        <w:t>, mis on kajastatud valla arengukavas</w:t>
      </w:r>
      <w:r w:rsidRPr="00DE30D7">
        <w:rPr>
          <w:lang w:val="et-EE"/>
        </w:rPr>
        <w:t>.</w:t>
      </w:r>
      <w:r w:rsidR="00B6144D" w:rsidRPr="00DE30D7">
        <w:rPr>
          <w:lang w:val="et-EE"/>
        </w:rPr>
        <w:t xml:space="preserve"> Rahaliselt kõige suuremaks </w:t>
      </w:r>
      <w:r w:rsidR="00E4636B" w:rsidRPr="00DE30D7">
        <w:rPr>
          <w:lang w:val="et-EE"/>
        </w:rPr>
        <w:t>projektiks on ettevõtlusala arendamine Kundas.</w:t>
      </w:r>
    </w:p>
    <w:p w:rsidR="000A3EC6" w:rsidRDefault="000A3EC6" w:rsidP="00924C20">
      <w:pPr>
        <w:rPr>
          <w:rFonts w:ascii="Trebuchet MS" w:hAnsi="Trebuchet MS"/>
          <w:b/>
          <w:lang w:val="et-EE"/>
        </w:rPr>
      </w:pPr>
    </w:p>
    <w:tbl>
      <w:tblPr>
        <w:tblW w:w="9488" w:type="dxa"/>
        <w:tblCellMar>
          <w:left w:w="70" w:type="dxa"/>
          <w:right w:w="70" w:type="dxa"/>
        </w:tblCellMar>
        <w:tblLook w:val="04A0" w:firstRow="1" w:lastRow="0" w:firstColumn="1" w:lastColumn="0" w:noHBand="0" w:noVBand="1"/>
      </w:tblPr>
      <w:tblGrid>
        <w:gridCol w:w="2825"/>
        <w:gridCol w:w="709"/>
        <w:gridCol w:w="992"/>
        <w:gridCol w:w="993"/>
        <w:gridCol w:w="992"/>
        <w:gridCol w:w="992"/>
        <w:gridCol w:w="992"/>
        <w:gridCol w:w="993"/>
      </w:tblGrid>
      <w:tr w:rsidR="000E132C" w:rsidRPr="000E132C" w:rsidTr="00341EE2">
        <w:trPr>
          <w:trHeight w:val="855"/>
        </w:trPr>
        <w:tc>
          <w:tcPr>
            <w:tcW w:w="2825" w:type="dxa"/>
            <w:tcBorders>
              <w:top w:val="single" w:sz="8" w:space="0" w:color="000000"/>
              <w:left w:val="single" w:sz="8" w:space="0" w:color="000000"/>
              <w:bottom w:val="single" w:sz="8" w:space="0" w:color="000000"/>
              <w:right w:val="single" w:sz="4" w:space="0" w:color="000000"/>
            </w:tcBorders>
            <w:shd w:val="clear" w:color="auto" w:fill="D6E3BC" w:themeFill="accent3" w:themeFillTint="66"/>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Investeeringuobjektid* (alati "+" märgiga)</w:t>
            </w:r>
          </w:p>
        </w:tc>
        <w:tc>
          <w:tcPr>
            <w:tcW w:w="709" w:type="dxa"/>
            <w:tcBorders>
              <w:top w:val="single" w:sz="8" w:space="0" w:color="000000"/>
              <w:left w:val="nil"/>
              <w:bottom w:val="single" w:sz="8" w:space="0" w:color="000000"/>
              <w:right w:val="single" w:sz="4" w:space="0" w:color="000000"/>
            </w:tcBorders>
            <w:shd w:val="clear" w:color="auto" w:fill="D6E3BC" w:themeFill="accent3" w:themeFillTint="66"/>
            <w:vAlign w:val="bottom"/>
            <w:hideMark/>
          </w:tcPr>
          <w:p w:rsidR="000E132C" w:rsidRPr="000E132C" w:rsidRDefault="000E132C" w:rsidP="000E132C">
            <w:pPr>
              <w:jc w:val="center"/>
              <w:rPr>
                <w:rFonts w:ascii="Arial" w:hAnsi="Arial" w:cs="Arial"/>
                <w:b/>
                <w:bCs/>
                <w:sz w:val="16"/>
                <w:szCs w:val="16"/>
                <w:lang w:val="et-EE" w:eastAsia="et-EE"/>
              </w:rPr>
            </w:pPr>
            <w:r w:rsidRPr="000E132C">
              <w:rPr>
                <w:rFonts w:ascii="Arial" w:hAnsi="Arial" w:cs="Arial"/>
                <w:b/>
                <w:bCs/>
                <w:sz w:val="16"/>
                <w:szCs w:val="16"/>
                <w:lang w:val="et-EE" w:eastAsia="et-EE"/>
              </w:rPr>
              <w:t> </w:t>
            </w:r>
          </w:p>
        </w:tc>
        <w:tc>
          <w:tcPr>
            <w:tcW w:w="992" w:type="dxa"/>
            <w:tcBorders>
              <w:top w:val="single" w:sz="8" w:space="0" w:color="000000"/>
              <w:left w:val="nil"/>
              <w:bottom w:val="single" w:sz="8" w:space="0" w:color="000000"/>
              <w:right w:val="single" w:sz="4" w:space="0" w:color="000000"/>
            </w:tcBorders>
            <w:shd w:val="clear" w:color="auto" w:fill="D6E3BC" w:themeFill="accent3" w:themeFillTint="66"/>
            <w:vAlign w:val="bottom"/>
            <w:hideMark/>
          </w:tcPr>
          <w:p w:rsidR="000E132C" w:rsidRPr="000E132C" w:rsidRDefault="000E132C" w:rsidP="000E132C">
            <w:pPr>
              <w:jc w:val="center"/>
              <w:rPr>
                <w:rFonts w:ascii="Arial" w:hAnsi="Arial" w:cs="Arial"/>
                <w:b/>
                <w:bCs/>
                <w:sz w:val="16"/>
                <w:szCs w:val="16"/>
                <w:lang w:val="et-EE" w:eastAsia="et-EE"/>
              </w:rPr>
            </w:pPr>
            <w:r w:rsidRPr="000E132C">
              <w:rPr>
                <w:rFonts w:ascii="Arial" w:hAnsi="Arial" w:cs="Arial"/>
                <w:b/>
                <w:bCs/>
                <w:sz w:val="16"/>
                <w:szCs w:val="16"/>
                <w:lang w:val="et-EE" w:eastAsia="et-EE"/>
              </w:rPr>
              <w:t>2018 eeldatav täitmine</w:t>
            </w:r>
          </w:p>
        </w:tc>
        <w:tc>
          <w:tcPr>
            <w:tcW w:w="993" w:type="dxa"/>
            <w:tcBorders>
              <w:top w:val="single" w:sz="8" w:space="0" w:color="000000"/>
              <w:left w:val="nil"/>
              <w:bottom w:val="single" w:sz="8" w:space="0" w:color="000000"/>
              <w:right w:val="single" w:sz="4" w:space="0" w:color="000000"/>
            </w:tcBorders>
            <w:shd w:val="clear" w:color="auto" w:fill="D6E3BC" w:themeFill="accent3" w:themeFillTint="66"/>
            <w:vAlign w:val="bottom"/>
            <w:hideMark/>
          </w:tcPr>
          <w:p w:rsidR="000E132C" w:rsidRPr="000E132C" w:rsidRDefault="000E132C" w:rsidP="000E132C">
            <w:pPr>
              <w:jc w:val="center"/>
              <w:rPr>
                <w:rFonts w:ascii="Arial" w:hAnsi="Arial" w:cs="Arial"/>
                <w:b/>
                <w:bCs/>
                <w:sz w:val="16"/>
                <w:szCs w:val="16"/>
                <w:lang w:val="et-EE" w:eastAsia="et-EE"/>
              </w:rPr>
            </w:pPr>
            <w:r w:rsidRPr="000E132C">
              <w:rPr>
                <w:rFonts w:ascii="Arial" w:hAnsi="Arial" w:cs="Arial"/>
                <w:b/>
                <w:bCs/>
                <w:sz w:val="16"/>
                <w:szCs w:val="16"/>
                <w:lang w:val="et-EE" w:eastAsia="et-EE"/>
              </w:rPr>
              <w:t xml:space="preserve">2019 eelarve  </w:t>
            </w:r>
          </w:p>
        </w:tc>
        <w:tc>
          <w:tcPr>
            <w:tcW w:w="992" w:type="dxa"/>
            <w:tcBorders>
              <w:top w:val="single" w:sz="8" w:space="0" w:color="000000"/>
              <w:left w:val="nil"/>
              <w:bottom w:val="single" w:sz="8" w:space="0" w:color="000000"/>
              <w:right w:val="single" w:sz="4" w:space="0" w:color="000000"/>
            </w:tcBorders>
            <w:shd w:val="clear" w:color="auto" w:fill="D6E3BC" w:themeFill="accent3" w:themeFillTint="66"/>
            <w:vAlign w:val="bottom"/>
            <w:hideMark/>
          </w:tcPr>
          <w:p w:rsidR="000E132C" w:rsidRPr="000E132C" w:rsidRDefault="000E132C" w:rsidP="000E132C">
            <w:pPr>
              <w:jc w:val="center"/>
              <w:rPr>
                <w:rFonts w:ascii="Arial" w:hAnsi="Arial" w:cs="Arial"/>
                <w:b/>
                <w:bCs/>
                <w:sz w:val="16"/>
                <w:szCs w:val="16"/>
                <w:lang w:val="et-EE" w:eastAsia="et-EE"/>
              </w:rPr>
            </w:pPr>
            <w:r w:rsidRPr="000E132C">
              <w:rPr>
                <w:rFonts w:ascii="Arial" w:hAnsi="Arial" w:cs="Arial"/>
                <w:b/>
                <w:bCs/>
                <w:sz w:val="16"/>
                <w:szCs w:val="16"/>
                <w:lang w:val="et-EE" w:eastAsia="et-EE"/>
              </w:rPr>
              <w:t xml:space="preserve">2020 eelarve  </w:t>
            </w:r>
          </w:p>
        </w:tc>
        <w:tc>
          <w:tcPr>
            <w:tcW w:w="992" w:type="dxa"/>
            <w:tcBorders>
              <w:top w:val="single" w:sz="8" w:space="0" w:color="000000"/>
              <w:left w:val="nil"/>
              <w:bottom w:val="single" w:sz="8" w:space="0" w:color="000000"/>
              <w:right w:val="single" w:sz="4" w:space="0" w:color="000000"/>
            </w:tcBorders>
            <w:shd w:val="clear" w:color="auto" w:fill="D6E3BC" w:themeFill="accent3" w:themeFillTint="66"/>
            <w:vAlign w:val="bottom"/>
            <w:hideMark/>
          </w:tcPr>
          <w:p w:rsidR="000E132C" w:rsidRPr="000E132C" w:rsidRDefault="000E132C" w:rsidP="000E132C">
            <w:pPr>
              <w:jc w:val="center"/>
              <w:rPr>
                <w:rFonts w:ascii="Arial" w:hAnsi="Arial" w:cs="Arial"/>
                <w:b/>
                <w:bCs/>
                <w:sz w:val="16"/>
                <w:szCs w:val="16"/>
                <w:lang w:val="et-EE" w:eastAsia="et-EE"/>
              </w:rPr>
            </w:pPr>
            <w:r w:rsidRPr="000E132C">
              <w:rPr>
                <w:rFonts w:ascii="Arial" w:hAnsi="Arial" w:cs="Arial"/>
                <w:b/>
                <w:bCs/>
                <w:sz w:val="16"/>
                <w:szCs w:val="16"/>
                <w:lang w:val="et-EE" w:eastAsia="et-EE"/>
              </w:rPr>
              <w:t xml:space="preserve">2021 eelarve  </w:t>
            </w:r>
          </w:p>
        </w:tc>
        <w:tc>
          <w:tcPr>
            <w:tcW w:w="992" w:type="dxa"/>
            <w:tcBorders>
              <w:top w:val="single" w:sz="8" w:space="0" w:color="000000"/>
              <w:left w:val="nil"/>
              <w:bottom w:val="single" w:sz="8" w:space="0" w:color="000000"/>
              <w:right w:val="single" w:sz="8" w:space="0" w:color="000000"/>
            </w:tcBorders>
            <w:shd w:val="clear" w:color="auto" w:fill="D6E3BC" w:themeFill="accent3" w:themeFillTint="66"/>
            <w:vAlign w:val="bottom"/>
            <w:hideMark/>
          </w:tcPr>
          <w:p w:rsidR="000E132C" w:rsidRPr="000E132C" w:rsidRDefault="000E132C" w:rsidP="000E132C">
            <w:pPr>
              <w:jc w:val="center"/>
              <w:rPr>
                <w:rFonts w:ascii="Arial" w:hAnsi="Arial" w:cs="Arial"/>
                <w:b/>
                <w:bCs/>
                <w:sz w:val="16"/>
                <w:szCs w:val="16"/>
                <w:lang w:val="et-EE" w:eastAsia="et-EE"/>
              </w:rPr>
            </w:pPr>
            <w:r w:rsidRPr="000E132C">
              <w:rPr>
                <w:rFonts w:ascii="Arial" w:hAnsi="Arial" w:cs="Arial"/>
                <w:b/>
                <w:bCs/>
                <w:sz w:val="16"/>
                <w:szCs w:val="16"/>
                <w:lang w:val="et-EE" w:eastAsia="et-EE"/>
              </w:rPr>
              <w:t xml:space="preserve">2022 eelarve  </w:t>
            </w:r>
          </w:p>
        </w:tc>
        <w:tc>
          <w:tcPr>
            <w:tcW w:w="993" w:type="dxa"/>
            <w:tcBorders>
              <w:top w:val="single" w:sz="8" w:space="0" w:color="000000"/>
              <w:left w:val="single" w:sz="4" w:space="0" w:color="000000"/>
              <w:bottom w:val="single" w:sz="8" w:space="0" w:color="000000"/>
              <w:right w:val="single" w:sz="4" w:space="0" w:color="000000"/>
            </w:tcBorders>
            <w:shd w:val="clear" w:color="auto" w:fill="D6E3BC" w:themeFill="accent3" w:themeFillTint="66"/>
            <w:vAlign w:val="bottom"/>
            <w:hideMark/>
          </w:tcPr>
          <w:p w:rsidR="000E132C" w:rsidRPr="000E132C" w:rsidRDefault="000E132C" w:rsidP="000E132C">
            <w:pPr>
              <w:jc w:val="center"/>
              <w:rPr>
                <w:rFonts w:ascii="Arial" w:hAnsi="Arial" w:cs="Arial"/>
                <w:b/>
                <w:bCs/>
                <w:sz w:val="16"/>
                <w:szCs w:val="16"/>
                <w:lang w:val="et-EE" w:eastAsia="et-EE"/>
              </w:rPr>
            </w:pPr>
            <w:r w:rsidRPr="000E132C">
              <w:rPr>
                <w:rFonts w:ascii="Arial" w:hAnsi="Arial" w:cs="Arial"/>
                <w:b/>
                <w:bCs/>
                <w:sz w:val="16"/>
                <w:szCs w:val="16"/>
                <w:lang w:val="et-EE" w:eastAsia="et-EE"/>
              </w:rPr>
              <w:t xml:space="preserve">2023 eelarve  </w:t>
            </w:r>
          </w:p>
        </w:tc>
      </w:tr>
      <w:tr w:rsidR="000E132C" w:rsidRPr="000E132C" w:rsidTr="000E132C">
        <w:trPr>
          <w:trHeight w:val="225"/>
        </w:trPr>
        <w:tc>
          <w:tcPr>
            <w:tcW w:w="2825" w:type="dxa"/>
            <w:tcBorders>
              <w:top w:val="single" w:sz="4" w:space="0" w:color="000000"/>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VALLAVALITSUSE HOONE (01)</w:t>
            </w:r>
          </w:p>
        </w:tc>
        <w:tc>
          <w:tcPr>
            <w:tcW w:w="709" w:type="dxa"/>
            <w:tcBorders>
              <w:top w:val="single" w:sz="4" w:space="0" w:color="000000"/>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single" w:sz="4" w:space="0" w:color="000000"/>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87 000</w:t>
            </w:r>
          </w:p>
        </w:tc>
        <w:tc>
          <w:tcPr>
            <w:tcW w:w="993" w:type="dxa"/>
            <w:tcBorders>
              <w:top w:val="single" w:sz="4" w:space="0" w:color="000000"/>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single" w:sz="4" w:space="0" w:color="000000"/>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single" w:sz="4" w:space="0" w:color="000000"/>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single" w:sz="4" w:space="0" w:color="000000"/>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3" w:type="dxa"/>
            <w:tcBorders>
              <w:top w:val="single" w:sz="4" w:space="0" w:color="000000"/>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87 000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ASERI KESKVÄLJAKU REK (04)</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3"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285 400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242 590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42 810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ASERI-RANNU KERGLIIKLUSTEE (04)</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15 000</w:t>
            </w:r>
          </w:p>
        </w:tc>
        <w:tc>
          <w:tcPr>
            <w:tcW w:w="993"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221 000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116 000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12 750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147 738</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2 250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73 262</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116 000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TEEDE, TÄNAVATE KORRASHOID (04)</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133 500</w:t>
            </w:r>
          </w:p>
        </w:tc>
        <w:tc>
          <w:tcPr>
            <w:tcW w:w="993"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150 000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150 000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150 000</w:t>
            </w:r>
          </w:p>
        </w:tc>
        <w:tc>
          <w:tcPr>
            <w:tcW w:w="992" w:type="dxa"/>
            <w:tcBorders>
              <w:top w:val="nil"/>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150 000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133 500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150 000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150 000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150 000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150 000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KUNDA JAAMA TN REK (04)</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180 000</w:t>
            </w:r>
          </w:p>
        </w:tc>
        <w:tc>
          <w:tcPr>
            <w:tcW w:w="993"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460 000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140 000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372 000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40 000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88 000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ETTEVÕTLUSALA KUNDAS (04)</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3 000</w:t>
            </w:r>
          </w:p>
        </w:tc>
        <w:tc>
          <w:tcPr>
            <w:tcW w:w="993"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1 077 000</w:t>
            </w:r>
          </w:p>
        </w:tc>
        <w:tc>
          <w:tcPr>
            <w:tcW w:w="992" w:type="dxa"/>
            <w:tcBorders>
              <w:top w:val="nil"/>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1 119 566</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1 035 000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1 000 000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1 083 031</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1 000 000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3 000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77 000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36 535</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35 000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MAHU SADAM (04)</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3"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25 000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200 000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200 000</w:t>
            </w:r>
          </w:p>
        </w:tc>
        <w:tc>
          <w:tcPr>
            <w:tcW w:w="992" w:type="dxa"/>
            <w:tcBorders>
              <w:top w:val="nil"/>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200 000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150 000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150 000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150 000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25 000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50 000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50 000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50 000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JÄÄTMEKÄITLUS (05)</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30 000</w:t>
            </w:r>
          </w:p>
        </w:tc>
        <w:tc>
          <w:tcPr>
            <w:tcW w:w="993"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50 000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25 000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25 000</w:t>
            </w:r>
          </w:p>
        </w:tc>
        <w:tc>
          <w:tcPr>
            <w:tcW w:w="992" w:type="dxa"/>
            <w:tcBorders>
              <w:top w:val="nil"/>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37 500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18 750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18 750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30 000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12 500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6 250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6 250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KUNDA TÄNAVAVALGUSTUS (06)</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154 000</w:t>
            </w:r>
          </w:p>
        </w:tc>
        <w:tc>
          <w:tcPr>
            <w:tcW w:w="993"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800 202</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94 000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488 063</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60 000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312 139</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lastRenderedPageBreak/>
              <w:t>KUNDA MAJANDUSKESKUSE GARAAZ (06)</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50 000</w:t>
            </w:r>
          </w:p>
        </w:tc>
        <w:tc>
          <w:tcPr>
            <w:tcW w:w="993"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50 000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ASERI VABAAJAKESKUS (08)</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7 000</w:t>
            </w:r>
          </w:p>
        </w:tc>
        <w:tc>
          <w:tcPr>
            <w:tcW w:w="993"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10 000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10 000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10 000</w:t>
            </w:r>
          </w:p>
        </w:tc>
        <w:tc>
          <w:tcPr>
            <w:tcW w:w="992" w:type="dxa"/>
            <w:tcBorders>
              <w:top w:val="nil"/>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10 000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10 000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7 000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10 000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10 000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KUNDA SPORDIKESKUS (08)</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40 000</w:t>
            </w:r>
          </w:p>
        </w:tc>
        <w:tc>
          <w:tcPr>
            <w:tcW w:w="993"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10 000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10 000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10 000</w:t>
            </w:r>
          </w:p>
        </w:tc>
        <w:tc>
          <w:tcPr>
            <w:tcW w:w="992" w:type="dxa"/>
            <w:tcBorders>
              <w:top w:val="nil"/>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10 000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10 000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40 000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10 000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10 000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KUNDA LINNA KLUBI (08)</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12 600</w:t>
            </w:r>
          </w:p>
        </w:tc>
        <w:tc>
          <w:tcPr>
            <w:tcW w:w="993"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50 000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50 000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12 600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50 000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50 000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VIRU-NIGULA RAHVAMAJA (08)</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9 700</w:t>
            </w:r>
          </w:p>
        </w:tc>
        <w:tc>
          <w:tcPr>
            <w:tcW w:w="993"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9 700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VIRU-NIGULA PASTORAADI PEAHOONE(08)</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3"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25 000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60 000</w:t>
            </w:r>
          </w:p>
        </w:tc>
        <w:tc>
          <w:tcPr>
            <w:tcW w:w="992" w:type="dxa"/>
            <w:tcBorders>
              <w:top w:val="nil"/>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60 000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60 000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20 000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50 000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50 000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50 000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5 000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10 000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10 000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ASERI LASTEAED (09)</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122 500</w:t>
            </w:r>
          </w:p>
        </w:tc>
        <w:tc>
          <w:tcPr>
            <w:tcW w:w="993"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122 500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KUNDA LASTEAED (09)</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37 380</w:t>
            </w:r>
          </w:p>
        </w:tc>
        <w:tc>
          <w:tcPr>
            <w:tcW w:w="993"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764 620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21 084</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444 549</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16 296</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320 071</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ASERI KOOLI PÕHIKOOLI OSA REK (09)</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800 000</w:t>
            </w:r>
          </w:p>
        </w:tc>
        <w:tc>
          <w:tcPr>
            <w:tcW w:w="993"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854 005</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680 000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394 005</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120 000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460 000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KUNDA ÜHISGÜMNAASIMI HOONE (09)</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165 000</w:t>
            </w:r>
          </w:p>
        </w:tc>
        <w:tc>
          <w:tcPr>
            <w:tcW w:w="993"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270 000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270 000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58 258</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120 000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120 000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106 742</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150 000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150 000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VASTA KOOLI TÕLLAKUUR (09)</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3"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10 000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10 000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KUNDA HOOLDEKODU REK (10)</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38 285</w:t>
            </w:r>
          </w:p>
        </w:tc>
        <w:tc>
          <w:tcPr>
            <w:tcW w:w="993"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384 865</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94 000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10 685</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172 015</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79 900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27 600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212 850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14 100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SOTSIAALMAJA (10)</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3"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20 000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40 000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2" w:type="dxa"/>
            <w:tcBorders>
              <w:top w:val="nil"/>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15 000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30 000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5 000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b/>
                <w:bCs/>
                <w:sz w:val="16"/>
                <w:szCs w:val="16"/>
                <w:lang w:val="et-EE" w:eastAsia="et-EE"/>
              </w:rPr>
            </w:pPr>
            <w:r w:rsidRPr="000E132C">
              <w:rPr>
                <w:rFonts w:ascii="Arial" w:hAnsi="Arial" w:cs="Arial"/>
                <w:b/>
                <w:bCs/>
                <w:sz w:val="16"/>
                <w:szCs w:val="16"/>
                <w:lang w:val="et-EE" w:eastAsia="et-EE"/>
              </w:rPr>
              <w:t>MUUD PROJEKTID</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115 132</w:t>
            </w:r>
          </w:p>
        </w:tc>
        <w:tc>
          <w:tcPr>
            <w:tcW w:w="993"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20 000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50 000</w:t>
            </w:r>
          </w:p>
        </w:tc>
        <w:tc>
          <w:tcPr>
            <w:tcW w:w="992" w:type="dxa"/>
            <w:tcBorders>
              <w:top w:val="nil"/>
              <w:left w:val="nil"/>
              <w:bottom w:val="single" w:sz="4" w:space="0" w:color="000000"/>
              <w:right w:val="single" w:sz="4"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50 000</w:t>
            </w:r>
          </w:p>
        </w:tc>
        <w:tc>
          <w:tcPr>
            <w:tcW w:w="992" w:type="dxa"/>
            <w:tcBorders>
              <w:top w:val="nil"/>
              <w:left w:val="nil"/>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50 000</w:t>
            </w:r>
          </w:p>
        </w:tc>
        <w:tc>
          <w:tcPr>
            <w:tcW w:w="993" w:type="dxa"/>
            <w:tcBorders>
              <w:top w:val="nil"/>
              <w:left w:val="single" w:sz="4" w:space="0" w:color="000000"/>
              <w:bottom w:val="single" w:sz="4" w:space="0" w:color="000000"/>
              <w:right w:val="single" w:sz="8" w:space="0" w:color="000000"/>
            </w:tcBorders>
            <w:shd w:val="clear" w:color="969696" w:fill="969696"/>
            <w:noWrap/>
            <w:vAlign w:val="bottom"/>
            <w:hideMark/>
          </w:tcPr>
          <w:p w:rsidR="000E132C" w:rsidRPr="000E132C" w:rsidRDefault="000E132C" w:rsidP="000E132C">
            <w:pPr>
              <w:jc w:val="right"/>
              <w:rPr>
                <w:rFonts w:ascii="Arial" w:hAnsi="Arial" w:cs="Arial"/>
                <w:b/>
                <w:bCs/>
                <w:sz w:val="16"/>
                <w:szCs w:val="16"/>
                <w:lang w:val="et-EE" w:eastAsia="et-EE"/>
              </w:rPr>
            </w:pPr>
            <w:r w:rsidRPr="000E132C">
              <w:rPr>
                <w:rFonts w:ascii="Arial" w:hAnsi="Arial" w:cs="Arial"/>
                <w:b/>
                <w:bCs/>
                <w:sz w:val="16"/>
                <w:szCs w:val="16"/>
                <w:lang w:val="et-EE" w:eastAsia="et-EE"/>
              </w:rPr>
              <w:t>50 000</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toetuse arvelt</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r>
      <w:tr w:rsidR="000E132C" w:rsidRPr="000E132C" w:rsidTr="000E132C">
        <w:trPr>
          <w:trHeight w:val="225"/>
        </w:trPr>
        <w:tc>
          <w:tcPr>
            <w:tcW w:w="2825" w:type="dxa"/>
            <w:tcBorders>
              <w:top w:val="nil"/>
              <w:left w:val="single" w:sz="8" w:space="0" w:color="000000"/>
              <w:bottom w:val="single" w:sz="4" w:space="0" w:color="000000"/>
              <w:right w:val="single" w:sz="4" w:space="0" w:color="000000"/>
            </w:tcBorders>
            <w:shd w:val="clear" w:color="auto" w:fill="auto"/>
            <w:vAlign w:val="bottom"/>
            <w:hideMark/>
          </w:tcPr>
          <w:p w:rsidR="000E132C" w:rsidRPr="000E132C" w:rsidRDefault="000E132C" w:rsidP="000E132C">
            <w:pPr>
              <w:rPr>
                <w:rFonts w:ascii="Arial" w:hAnsi="Arial" w:cs="Arial"/>
                <w:i/>
                <w:iCs/>
                <w:sz w:val="16"/>
                <w:szCs w:val="16"/>
                <w:lang w:val="et-EE" w:eastAsia="et-EE"/>
              </w:rPr>
            </w:pPr>
            <w:r w:rsidRPr="000E132C">
              <w:rPr>
                <w:rFonts w:ascii="Arial" w:hAnsi="Arial" w:cs="Arial"/>
                <w:i/>
                <w:iCs/>
                <w:sz w:val="16"/>
                <w:szCs w:val="16"/>
                <w:lang w:val="et-EE" w:eastAsia="et-EE"/>
              </w:rPr>
              <w:t>sh muude vahendite arvelt (omaosalus)</w:t>
            </w:r>
          </w:p>
        </w:tc>
        <w:tc>
          <w:tcPr>
            <w:tcW w:w="709" w:type="dxa"/>
            <w:tcBorders>
              <w:top w:val="nil"/>
              <w:left w:val="nil"/>
              <w:bottom w:val="single" w:sz="4" w:space="0" w:color="000000"/>
              <w:right w:val="single" w:sz="4" w:space="0" w:color="000000"/>
            </w:tcBorders>
            <w:shd w:val="clear" w:color="A5A5A5" w:fill="A5A5A5"/>
            <w:noWrap/>
            <w:vAlign w:val="bottom"/>
            <w:hideMark/>
          </w:tcPr>
          <w:p w:rsidR="000E132C" w:rsidRPr="000E132C" w:rsidRDefault="000E132C" w:rsidP="000E132C">
            <w:pPr>
              <w:rPr>
                <w:rFonts w:ascii="Arial" w:hAnsi="Arial" w:cs="Arial"/>
                <w:sz w:val="16"/>
                <w:szCs w:val="16"/>
                <w:lang w:val="et-EE" w:eastAsia="et-EE"/>
              </w:rPr>
            </w:pPr>
            <w:r w:rsidRPr="000E132C">
              <w:rPr>
                <w:rFonts w:ascii="Arial" w:hAnsi="Arial" w:cs="Arial"/>
                <w:sz w:val="16"/>
                <w:szCs w:val="16"/>
                <w:lang w:val="et-EE" w:eastAsia="et-EE"/>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115 132</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20 000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50 000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50 000</w:t>
            </w:r>
          </w:p>
        </w:tc>
        <w:tc>
          <w:tcPr>
            <w:tcW w:w="992"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50 000</w:t>
            </w:r>
          </w:p>
        </w:tc>
        <w:tc>
          <w:tcPr>
            <w:tcW w:w="993" w:type="dxa"/>
            <w:tcBorders>
              <w:top w:val="nil"/>
              <w:left w:val="nil"/>
              <w:bottom w:val="single" w:sz="4" w:space="0" w:color="000000"/>
              <w:right w:val="single" w:sz="4" w:space="0" w:color="000000"/>
            </w:tcBorders>
            <w:shd w:val="clear" w:color="auto" w:fill="auto"/>
            <w:noWrap/>
            <w:vAlign w:val="bottom"/>
            <w:hideMark/>
          </w:tcPr>
          <w:p w:rsidR="000E132C" w:rsidRPr="000E132C" w:rsidRDefault="000E132C" w:rsidP="000E132C">
            <w:pPr>
              <w:jc w:val="right"/>
              <w:rPr>
                <w:rFonts w:ascii="Arial" w:hAnsi="Arial" w:cs="Arial"/>
                <w:sz w:val="16"/>
                <w:szCs w:val="16"/>
                <w:lang w:val="et-EE" w:eastAsia="et-EE"/>
              </w:rPr>
            </w:pPr>
            <w:r w:rsidRPr="000E132C">
              <w:rPr>
                <w:rFonts w:ascii="Arial" w:hAnsi="Arial" w:cs="Arial"/>
                <w:sz w:val="16"/>
                <w:szCs w:val="16"/>
                <w:lang w:val="et-EE" w:eastAsia="et-EE"/>
              </w:rPr>
              <w:t>50 000</w:t>
            </w:r>
          </w:p>
        </w:tc>
      </w:tr>
    </w:tbl>
    <w:p w:rsidR="000E132C" w:rsidRPr="006B14A4" w:rsidRDefault="000E132C" w:rsidP="00924C20">
      <w:pPr>
        <w:rPr>
          <w:rFonts w:ascii="Trebuchet MS" w:hAnsi="Trebuchet MS"/>
          <w:b/>
          <w:lang w:val="et-EE"/>
        </w:rPr>
      </w:pPr>
    </w:p>
    <w:p w:rsidR="00924C20" w:rsidRPr="00DE30D7" w:rsidRDefault="0062749B" w:rsidP="00924C20">
      <w:pPr>
        <w:rPr>
          <w:b/>
          <w:sz w:val="20"/>
          <w:szCs w:val="20"/>
          <w:lang w:val="et-EE"/>
        </w:rPr>
      </w:pPr>
      <w:r w:rsidRPr="00DE30D7">
        <w:rPr>
          <w:b/>
          <w:sz w:val="20"/>
          <w:szCs w:val="20"/>
          <w:lang w:val="et-EE"/>
        </w:rPr>
        <w:t>Tabel 9. Viru-Nigula valla investeerimisobjektid.</w:t>
      </w:r>
    </w:p>
    <w:p w:rsidR="0062749B" w:rsidRPr="00DE30D7" w:rsidRDefault="0062749B" w:rsidP="000A3EC6">
      <w:pPr>
        <w:jc w:val="both"/>
        <w:rPr>
          <w:sz w:val="20"/>
          <w:szCs w:val="20"/>
          <w:lang w:val="et-EE"/>
        </w:rPr>
      </w:pPr>
    </w:p>
    <w:p w:rsidR="00006B5C" w:rsidRDefault="000A3EC6" w:rsidP="009143F4">
      <w:pPr>
        <w:spacing w:line="276" w:lineRule="auto"/>
        <w:jc w:val="both"/>
        <w:rPr>
          <w:lang w:val="et-EE"/>
        </w:rPr>
      </w:pPr>
      <w:r w:rsidRPr="008D798B">
        <w:rPr>
          <w:lang w:val="et-EE"/>
        </w:rPr>
        <w:t xml:space="preserve">Joonis </w:t>
      </w:r>
      <w:r w:rsidR="00B1324A" w:rsidRPr="008D798B">
        <w:rPr>
          <w:lang w:val="et-EE"/>
        </w:rPr>
        <w:t>5</w:t>
      </w:r>
      <w:r w:rsidRPr="008D798B">
        <w:rPr>
          <w:lang w:val="et-EE"/>
        </w:rPr>
        <w:t xml:space="preserve"> iseloomustab i</w:t>
      </w:r>
      <w:r w:rsidR="00924C20" w:rsidRPr="008D798B">
        <w:rPr>
          <w:lang w:val="et-EE"/>
        </w:rPr>
        <w:t>nvesteeringute summa</w:t>
      </w:r>
      <w:r w:rsidRPr="008D798B">
        <w:rPr>
          <w:lang w:val="et-EE"/>
        </w:rPr>
        <w:t>si</w:t>
      </w:r>
      <w:r w:rsidR="00924C20" w:rsidRPr="008D798B">
        <w:rPr>
          <w:lang w:val="et-EE"/>
        </w:rPr>
        <w:t>d aastate lõikes</w:t>
      </w:r>
      <w:r w:rsidRPr="008D798B">
        <w:rPr>
          <w:lang w:val="et-EE"/>
        </w:rPr>
        <w:t xml:space="preserve">, eristades </w:t>
      </w:r>
      <w:r w:rsidR="00E4636B" w:rsidRPr="008D798B">
        <w:rPr>
          <w:lang w:val="et-EE"/>
        </w:rPr>
        <w:t xml:space="preserve">Viru-Nigula </w:t>
      </w:r>
      <w:r w:rsidRPr="008D798B">
        <w:rPr>
          <w:lang w:val="et-EE"/>
        </w:rPr>
        <w:t xml:space="preserve">valla </w:t>
      </w:r>
      <w:r w:rsidR="00924C20" w:rsidRPr="008D798B">
        <w:rPr>
          <w:lang w:val="et-EE"/>
        </w:rPr>
        <w:t>omaosalus</w:t>
      </w:r>
      <w:r w:rsidR="00E4636B" w:rsidRPr="008D798B">
        <w:rPr>
          <w:lang w:val="et-EE"/>
        </w:rPr>
        <w:t>e</w:t>
      </w:r>
      <w:r w:rsidR="00924C20" w:rsidRPr="008D798B">
        <w:rPr>
          <w:lang w:val="et-EE"/>
        </w:rPr>
        <w:t xml:space="preserve"> ja projektitoetus</w:t>
      </w:r>
      <w:r w:rsidRPr="008D798B">
        <w:rPr>
          <w:lang w:val="et-EE"/>
        </w:rPr>
        <w:t>e.</w:t>
      </w:r>
      <w:r w:rsidR="007070AD" w:rsidRPr="008D798B">
        <w:rPr>
          <w:lang w:val="et-EE"/>
        </w:rPr>
        <w:t xml:space="preserve"> </w:t>
      </w:r>
    </w:p>
    <w:p w:rsidR="00212622" w:rsidRPr="000A3EC6" w:rsidRDefault="00212622" w:rsidP="009143F4">
      <w:pPr>
        <w:spacing w:line="276" w:lineRule="auto"/>
        <w:jc w:val="both"/>
        <w:rPr>
          <w:rFonts w:ascii="Trebuchet MS" w:hAnsi="Trebuchet MS"/>
          <w:lang w:val="et-EE"/>
        </w:rPr>
      </w:pPr>
    </w:p>
    <w:p w:rsidR="00924C20" w:rsidRPr="006B14A4" w:rsidRDefault="00385F6F" w:rsidP="000A3EC6">
      <w:pPr>
        <w:jc w:val="center"/>
        <w:rPr>
          <w:b/>
          <w:sz w:val="28"/>
          <w:szCs w:val="28"/>
          <w:lang w:val="et-EE"/>
        </w:rPr>
      </w:pPr>
      <w:r>
        <w:rPr>
          <w:noProof/>
          <w:lang w:val="et-EE" w:eastAsia="et-EE"/>
        </w:rPr>
        <w:drawing>
          <wp:inline distT="0" distB="0" distL="0" distR="0">
            <wp:extent cx="4933950" cy="2241550"/>
            <wp:effectExtent l="19050" t="0" r="19050" b="6350"/>
            <wp:docPr id="12" name="Diagramm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7299D" w:rsidRDefault="00B7299D" w:rsidP="00924C20">
      <w:pPr>
        <w:rPr>
          <w:rFonts w:ascii="Trebuchet MS" w:hAnsi="Trebuchet MS"/>
          <w:b/>
          <w:sz w:val="22"/>
          <w:szCs w:val="22"/>
          <w:lang w:val="et-EE"/>
        </w:rPr>
      </w:pPr>
    </w:p>
    <w:p w:rsidR="000A3EC6" w:rsidRPr="009207A1" w:rsidRDefault="00D77C32" w:rsidP="00924C20">
      <w:pPr>
        <w:rPr>
          <w:b/>
          <w:sz w:val="20"/>
          <w:szCs w:val="20"/>
          <w:lang w:val="et-EE"/>
        </w:rPr>
      </w:pPr>
      <w:r w:rsidRPr="009207A1">
        <w:rPr>
          <w:b/>
          <w:sz w:val="20"/>
          <w:szCs w:val="20"/>
          <w:lang w:val="et-EE"/>
        </w:rPr>
        <w:t>Joonis 5</w:t>
      </w:r>
      <w:r w:rsidR="000A3EC6" w:rsidRPr="009207A1">
        <w:rPr>
          <w:b/>
          <w:sz w:val="20"/>
          <w:szCs w:val="20"/>
          <w:lang w:val="et-EE"/>
        </w:rPr>
        <w:t>. Viru-Nigula valla investeeringud aastate lõikes, valla omaosalus ja projektitoetus</w:t>
      </w:r>
      <w:r w:rsidR="00105F3A" w:rsidRPr="009207A1">
        <w:rPr>
          <w:b/>
          <w:sz w:val="20"/>
          <w:szCs w:val="20"/>
          <w:lang w:val="et-EE"/>
        </w:rPr>
        <w:t>.</w:t>
      </w:r>
    </w:p>
    <w:p w:rsidR="000A3EC6" w:rsidRDefault="000A3EC6" w:rsidP="00924C20">
      <w:pPr>
        <w:rPr>
          <w:rFonts w:ascii="Trebuchet MS" w:hAnsi="Trebuchet MS"/>
          <w:b/>
          <w:lang w:val="et-EE"/>
        </w:rPr>
      </w:pPr>
    </w:p>
    <w:p w:rsidR="009143F4" w:rsidRPr="008D798B" w:rsidRDefault="009143F4" w:rsidP="009143F4">
      <w:pPr>
        <w:spacing w:line="276" w:lineRule="auto"/>
        <w:jc w:val="both"/>
        <w:rPr>
          <w:lang w:val="et-EE"/>
        </w:rPr>
      </w:pPr>
      <w:r w:rsidRPr="008D798B">
        <w:rPr>
          <w:lang w:val="et-EE"/>
        </w:rPr>
        <w:t xml:space="preserve">Investeeringute rahastamiseks on kolm võimalust – oma eelarve vabadest vahenditest, võtta laenu ja kaasata projektitoetused. Investeeringute kavas on projektitoetuste osakaal väga suur - </w:t>
      </w:r>
      <w:r>
        <w:rPr>
          <w:lang w:val="et-EE"/>
        </w:rPr>
        <w:t>63</w:t>
      </w:r>
      <w:r w:rsidRPr="008D798B">
        <w:rPr>
          <w:lang w:val="et-EE"/>
        </w:rPr>
        <w:t>% kokku eelarvestrateegia perioodil, mis paneb suured lootused ja kõrged nõudmised projektitaotluste kirjutajatele ja projekti läbiviijatele. Ülimalt oluline on taotluste esitamisel järgida eelarvestrateegias vastu võetud fiskaalpoliitilisi põhimõtteid, näiteks põhitegevuse tulemi suurust.</w:t>
      </w:r>
    </w:p>
    <w:p w:rsidR="009143F4" w:rsidRDefault="009143F4" w:rsidP="00924C20">
      <w:pPr>
        <w:rPr>
          <w:rFonts w:ascii="Trebuchet MS" w:hAnsi="Trebuchet MS"/>
          <w:b/>
          <w:lang w:val="et-EE"/>
        </w:rPr>
      </w:pPr>
    </w:p>
    <w:p w:rsidR="000A3EC6" w:rsidRPr="002E290D" w:rsidRDefault="00924C20" w:rsidP="00851132">
      <w:pPr>
        <w:spacing w:line="276" w:lineRule="auto"/>
        <w:rPr>
          <w:lang w:val="et-EE"/>
        </w:rPr>
      </w:pPr>
      <w:r w:rsidRPr="009207A1">
        <w:rPr>
          <w:lang w:val="et-EE"/>
        </w:rPr>
        <w:t>Eesmärg</w:t>
      </w:r>
      <w:r w:rsidR="002E290D">
        <w:rPr>
          <w:lang w:val="et-EE"/>
        </w:rPr>
        <w:t>id investeeringute teostamisel:</w:t>
      </w:r>
    </w:p>
    <w:p w:rsidR="00924C20" w:rsidRPr="009207A1" w:rsidRDefault="00601EA4" w:rsidP="009207A1">
      <w:pPr>
        <w:pStyle w:val="Loendilik"/>
        <w:numPr>
          <w:ilvl w:val="0"/>
          <w:numId w:val="2"/>
        </w:numPr>
        <w:jc w:val="both"/>
        <w:rPr>
          <w:szCs w:val="24"/>
        </w:rPr>
      </w:pPr>
      <w:r w:rsidRPr="009207A1">
        <w:rPr>
          <w:szCs w:val="24"/>
        </w:rPr>
        <w:t xml:space="preserve">Tagada </w:t>
      </w:r>
      <w:r w:rsidR="00B1324A" w:rsidRPr="009207A1">
        <w:rPr>
          <w:szCs w:val="24"/>
        </w:rPr>
        <w:t xml:space="preserve">Viru-Nigula </w:t>
      </w:r>
      <w:r w:rsidRPr="009207A1">
        <w:rPr>
          <w:szCs w:val="24"/>
        </w:rPr>
        <w:t>valla ühinemislepingus</w:t>
      </w:r>
      <w:r w:rsidR="00B1324A" w:rsidRPr="009207A1">
        <w:rPr>
          <w:szCs w:val="24"/>
        </w:rPr>
        <w:t xml:space="preserve"> olevate</w:t>
      </w:r>
      <w:r w:rsidR="00924C20" w:rsidRPr="009207A1">
        <w:rPr>
          <w:szCs w:val="24"/>
        </w:rPr>
        <w:t xml:space="preserve"> investeeringute </w:t>
      </w:r>
      <w:r w:rsidR="00964B77" w:rsidRPr="009207A1">
        <w:rPr>
          <w:szCs w:val="24"/>
        </w:rPr>
        <w:t>täitmine</w:t>
      </w:r>
      <w:r w:rsidR="00924C20" w:rsidRPr="009207A1">
        <w:rPr>
          <w:szCs w:val="24"/>
        </w:rPr>
        <w:t>;</w:t>
      </w:r>
    </w:p>
    <w:p w:rsidR="00924C20" w:rsidRPr="009207A1" w:rsidRDefault="00924C20" w:rsidP="009207A1">
      <w:pPr>
        <w:pStyle w:val="Loendilik"/>
        <w:numPr>
          <w:ilvl w:val="0"/>
          <w:numId w:val="2"/>
        </w:numPr>
        <w:jc w:val="both"/>
        <w:rPr>
          <w:szCs w:val="24"/>
        </w:rPr>
      </w:pPr>
      <w:r w:rsidRPr="009207A1">
        <w:rPr>
          <w:szCs w:val="24"/>
        </w:rPr>
        <w:t xml:space="preserve">Võimalikult palju teha </w:t>
      </w:r>
      <w:r w:rsidR="00B1324A" w:rsidRPr="009207A1">
        <w:rPr>
          <w:szCs w:val="24"/>
        </w:rPr>
        <w:t xml:space="preserve">vajaduspõhiseid </w:t>
      </w:r>
      <w:r w:rsidRPr="009207A1">
        <w:rPr>
          <w:szCs w:val="24"/>
        </w:rPr>
        <w:t xml:space="preserve">taotlusi </w:t>
      </w:r>
      <w:r w:rsidR="00B1324A" w:rsidRPr="009207A1">
        <w:rPr>
          <w:szCs w:val="24"/>
        </w:rPr>
        <w:t xml:space="preserve">Euroopa Liidu </w:t>
      </w:r>
      <w:r w:rsidRPr="009207A1">
        <w:rPr>
          <w:szCs w:val="24"/>
        </w:rPr>
        <w:t>struktuurifondidesse - saamaks maksimaalselt lisaraha</w:t>
      </w:r>
      <w:r w:rsidR="00B1324A" w:rsidRPr="009207A1">
        <w:rPr>
          <w:szCs w:val="24"/>
        </w:rPr>
        <w:t xml:space="preserve"> valda vajalikeks investeeringuteks</w:t>
      </w:r>
      <w:r w:rsidRPr="009207A1">
        <w:rPr>
          <w:szCs w:val="24"/>
        </w:rPr>
        <w:t>;</w:t>
      </w:r>
    </w:p>
    <w:p w:rsidR="00924C20" w:rsidRPr="009207A1" w:rsidRDefault="00924C20" w:rsidP="009207A1">
      <w:pPr>
        <w:pStyle w:val="Loendilik"/>
        <w:numPr>
          <w:ilvl w:val="0"/>
          <w:numId w:val="2"/>
        </w:numPr>
        <w:jc w:val="both"/>
        <w:rPr>
          <w:szCs w:val="24"/>
        </w:rPr>
      </w:pPr>
      <w:r w:rsidRPr="009207A1">
        <w:rPr>
          <w:szCs w:val="24"/>
        </w:rPr>
        <w:t>Investeeringutega saavutada efekt juhtimiskuludes ja majanduskuludes;</w:t>
      </w:r>
    </w:p>
    <w:p w:rsidR="00924C20" w:rsidRPr="009207A1" w:rsidRDefault="00924C20" w:rsidP="009207A1">
      <w:pPr>
        <w:pStyle w:val="Loendilik"/>
        <w:numPr>
          <w:ilvl w:val="0"/>
          <w:numId w:val="2"/>
        </w:numPr>
        <w:jc w:val="both"/>
        <w:rPr>
          <w:szCs w:val="24"/>
        </w:rPr>
      </w:pPr>
      <w:r w:rsidRPr="009207A1">
        <w:rPr>
          <w:szCs w:val="24"/>
        </w:rPr>
        <w:t>Investeeringute tegemisel</w:t>
      </w:r>
      <w:r w:rsidR="00B1324A" w:rsidRPr="009207A1">
        <w:rPr>
          <w:szCs w:val="24"/>
        </w:rPr>
        <w:t xml:space="preserve"> lähtuda valla tasakaalustatud ja jätkusuutlikust arengupõhimõttest</w:t>
      </w:r>
      <w:r w:rsidRPr="009207A1">
        <w:rPr>
          <w:szCs w:val="24"/>
        </w:rPr>
        <w:t>.</w:t>
      </w:r>
    </w:p>
    <w:p w:rsidR="000A3EC6" w:rsidRPr="009207A1" w:rsidRDefault="005D7C45" w:rsidP="009207A1">
      <w:pPr>
        <w:pStyle w:val="Pealkiri2"/>
        <w:spacing w:line="276" w:lineRule="auto"/>
        <w:jc w:val="both"/>
        <w:rPr>
          <w:rFonts w:ascii="Times New Roman" w:hAnsi="Times New Roman" w:cs="Times New Roman"/>
          <w:color w:val="auto"/>
          <w:sz w:val="24"/>
          <w:szCs w:val="24"/>
          <w:lang w:val="et-EE"/>
        </w:rPr>
      </w:pPr>
      <w:bookmarkStart w:id="15" w:name="_Toc521395301"/>
      <w:r w:rsidRPr="009207A1">
        <w:rPr>
          <w:rFonts w:ascii="Times New Roman" w:hAnsi="Times New Roman" w:cs="Times New Roman"/>
          <w:color w:val="auto"/>
          <w:sz w:val="24"/>
          <w:szCs w:val="24"/>
          <w:lang w:val="et-EE"/>
        </w:rPr>
        <w:t>3.4</w:t>
      </w:r>
      <w:r w:rsidR="004A72C0">
        <w:rPr>
          <w:rFonts w:ascii="Times New Roman" w:hAnsi="Times New Roman" w:cs="Times New Roman"/>
          <w:color w:val="auto"/>
          <w:sz w:val="24"/>
          <w:szCs w:val="24"/>
          <w:lang w:val="et-EE"/>
        </w:rPr>
        <w:t>.</w:t>
      </w:r>
      <w:r w:rsidR="00B7299D" w:rsidRPr="009207A1">
        <w:rPr>
          <w:rFonts w:ascii="Times New Roman" w:hAnsi="Times New Roman" w:cs="Times New Roman"/>
          <w:color w:val="auto"/>
          <w:sz w:val="24"/>
          <w:szCs w:val="24"/>
          <w:lang w:val="et-EE"/>
        </w:rPr>
        <w:t xml:space="preserve"> </w:t>
      </w:r>
      <w:r w:rsidR="00924C20" w:rsidRPr="009207A1">
        <w:rPr>
          <w:rFonts w:ascii="Times New Roman" w:hAnsi="Times New Roman" w:cs="Times New Roman"/>
          <w:color w:val="auto"/>
          <w:sz w:val="24"/>
          <w:szCs w:val="24"/>
          <w:lang w:val="et-EE"/>
        </w:rPr>
        <w:t>Finantseerimistegevuse eelarveosa</w:t>
      </w:r>
      <w:bookmarkEnd w:id="15"/>
    </w:p>
    <w:p w:rsidR="000A3EC6" w:rsidRPr="009207A1" w:rsidRDefault="000A3EC6" w:rsidP="009207A1">
      <w:pPr>
        <w:spacing w:line="276" w:lineRule="auto"/>
        <w:jc w:val="both"/>
        <w:rPr>
          <w:b/>
        </w:rPr>
      </w:pPr>
    </w:p>
    <w:p w:rsidR="00B1324A" w:rsidRPr="009207A1" w:rsidRDefault="00B1324A" w:rsidP="009207A1">
      <w:pPr>
        <w:spacing w:line="276" w:lineRule="auto"/>
        <w:jc w:val="both"/>
        <w:rPr>
          <w:lang w:val="et-EE"/>
        </w:rPr>
      </w:pPr>
      <w:r w:rsidRPr="009207A1">
        <w:rPr>
          <w:lang w:val="et-EE"/>
        </w:rPr>
        <w:t>Viru-Nigula valla finantseerimistegevust kajastab tabel 10.</w:t>
      </w:r>
    </w:p>
    <w:p w:rsidR="00924C20" w:rsidRDefault="00924C20" w:rsidP="009207A1">
      <w:pPr>
        <w:spacing w:line="276" w:lineRule="auto"/>
        <w:jc w:val="both"/>
        <w:rPr>
          <w:b/>
          <w:lang w:val="es-ES"/>
        </w:rPr>
      </w:pPr>
    </w:p>
    <w:tbl>
      <w:tblPr>
        <w:tblW w:w="9346" w:type="dxa"/>
        <w:tblCellMar>
          <w:left w:w="70" w:type="dxa"/>
          <w:right w:w="70" w:type="dxa"/>
        </w:tblCellMar>
        <w:tblLook w:val="04A0" w:firstRow="1" w:lastRow="0" w:firstColumn="1" w:lastColumn="0" w:noHBand="0" w:noVBand="1"/>
      </w:tblPr>
      <w:tblGrid>
        <w:gridCol w:w="2117"/>
        <w:gridCol w:w="1134"/>
        <w:gridCol w:w="1134"/>
        <w:gridCol w:w="992"/>
        <w:gridCol w:w="992"/>
        <w:gridCol w:w="992"/>
        <w:gridCol w:w="993"/>
        <w:gridCol w:w="992"/>
      </w:tblGrid>
      <w:tr w:rsidR="006A6605" w:rsidRPr="006A6605" w:rsidTr="00341EE2">
        <w:trPr>
          <w:trHeight w:val="1095"/>
        </w:trPr>
        <w:tc>
          <w:tcPr>
            <w:tcW w:w="2117" w:type="dxa"/>
            <w:tcBorders>
              <w:top w:val="single" w:sz="8" w:space="0" w:color="000000"/>
              <w:left w:val="single" w:sz="8" w:space="0" w:color="000000"/>
              <w:bottom w:val="single" w:sz="8" w:space="0" w:color="000000"/>
              <w:right w:val="nil"/>
            </w:tcBorders>
            <w:shd w:val="clear" w:color="auto" w:fill="D6E3BC" w:themeFill="accent3" w:themeFillTint="66"/>
            <w:vAlign w:val="bottom"/>
            <w:hideMark/>
          </w:tcPr>
          <w:p w:rsidR="006A6605" w:rsidRPr="006A6605" w:rsidRDefault="006A6605" w:rsidP="006A6605">
            <w:pPr>
              <w:jc w:val="center"/>
              <w:rPr>
                <w:rFonts w:ascii="Arial" w:hAnsi="Arial" w:cs="Arial"/>
                <w:b/>
                <w:bCs/>
                <w:sz w:val="16"/>
                <w:szCs w:val="16"/>
                <w:lang w:val="et-EE" w:eastAsia="et-EE"/>
              </w:rPr>
            </w:pPr>
            <w:r w:rsidRPr="006A6605">
              <w:rPr>
                <w:rFonts w:ascii="Arial" w:hAnsi="Arial" w:cs="Arial"/>
                <w:b/>
                <w:bCs/>
                <w:sz w:val="16"/>
                <w:szCs w:val="16"/>
                <w:lang w:val="et-EE" w:eastAsia="et-EE"/>
              </w:rPr>
              <w:t>Viru - Nigula vald määruse nr... ja kuupäev</w:t>
            </w:r>
          </w:p>
        </w:tc>
        <w:tc>
          <w:tcPr>
            <w:tcW w:w="113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bottom"/>
            <w:hideMark/>
          </w:tcPr>
          <w:p w:rsidR="006A6605" w:rsidRPr="006A6605" w:rsidRDefault="006A6605" w:rsidP="006A6605">
            <w:pPr>
              <w:jc w:val="center"/>
              <w:rPr>
                <w:rFonts w:ascii="Arial" w:hAnsi="Arial" w:cs="Arial"/>
                <w:b/>
                <w:bCs/>
                <w:sz w:val="16"/>
                <w:szCs w:val="16"/>
                <w:lang w:val="et-EE" w:eastAsia="et-EE"/>
              </w:rPr>
            </w:pPr>
            <w:r w:rsidRPr="006A6605">
              <w:rPr>
                <w:rFonts w:ascii="Arial" w:hAnsi="Arial" w:cs="Arial"/>
                <w:b/>
                <w:bCs/>
                <w:sz w:val="16"/>
                <w:szCs w:val="16"/>
                <w:lang w:val="et-EE" w:eastAsia="et-EE"/>
              </w:rPr>
              <w:t>2017 täitmine</w:t>
            </w:r>
          </w:p>
        </w:tc>
        <w:tc>
          <w:tcPr>
            <w:tcW w:w="1134"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6A6605" w:rsidRPr="006A6605" w:rsidRDefault="006A6605" w:rsidP="006A6605">
            <w:pPr>
              <w:jc w:val="center"/>
              <w:rPr>
                <w:rFonts w:ascii="Arial" w:hAnsi="Arial" w:cs="Arial"/>
                <w:b/>
                <w:bCs/>
                <w:sz w:val="16"/>
                <w:szCs w:val="16"/>
                <w:lang w:val="et-EE" w:eastAsia="et-EE"/>
              </w:rPr>
            </w:pPr>
            <w:r w:rsidRPr="006A6605">
              <w:rPr>
                <w:rFonts w:ascii="Arial" w:hAnsi="Arial" w:cs="Arial"/>
                <w:b/>
                <w:bCs/>
                <w:sz w:val="16"/>
                <w:szCs w:val="16"/>
                <w:lang w:val="et-EE" w:eastAsia="et-EE"/>
              </w:rPr>
              <w:t>2018 eeldatav täitmine</w:t>
            </w:r>
          </w:p>
        </w:tc>
        <w:tc>
          <w:tcPr>
            <w:tcW w:w="99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6A6605" w:rsidRPr="006A6605" w:rsidRDefault="006A6605" w:rsidP="006A6605">
            <w:pPr>
              <w:jc w:val="center"/>
              <w:rPr>
                <w:rFonts w:ascii="Arial" w:hAnsi="Arial" w:cs="Arial"/>
                <w:b/>
                <w:bCs/>
                <w:sz w:val="16"/>
                <w:szCs w:val="16"/>
                <w:lang w:val="et-EE" w:eastAsia="et-EE"/>
              </w:rPr>
            </w:pPr>
            <w:r w:rsidRPr="006A6605">
              <w:rPr>
                <w:rFonts w:ascii="Arial" w:hAnsi="Arial" w:cs="Arial"/>
                <w:b/>
                <w:bCs/>
                <w:sz w:val="16"/>
                <w:szCs w:val="16"/>
                <w:lang w:val="et-EE" w:eastAsia="et-EE"/>
              </w:rPr>
              <w:t xml:space="preserve">2019 eelarve  </w:t>
            </w:r>
          </w:p>
        </w:tc>
        <w:tc>
          <w:tcPr>
            <w:tcW w:w="99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6A6605" w:rsidRPr="006A6605" w:rsidRDefault="006A6605" w:rsidP="006A6605">
            <w:pPr>
              <w:jc w:val="center"/>
              <w:rPr>
                <w:rFonts w:ascii="Arial" w:hAnsi="Arial" w:cs="Arial"/>
                <w:b/>
                <w:bCs/>
                <w:sz w:val="16"/>
                <w:szCs w:val="16"/>
                <w:lang w:val="et-EE" w:eastAsia="et-EE"/>
              </w:rPr>
            </w:pPr>
            <w:r w:rsidRPr="006A6605">
              <w:rPr>
                <w:rFonts w:ascii="Arial" w:hAnsi="Arial" w:cs="Arial"/>
                <w:b/>
                <w:bCs/>
                <w:sz w:val="16"/>
                <w:szCs w:val="16"/>
                <w:lang w:val="et-EE" w:eastAsia="et-EE"/>
              </w:rPr>
              <w:t xml:space="preserve">2020 eelarve  </w:t>
            </w:r>
          </w:p>
        </w:tc>
        <w:tc>
          <w:tcPr>
            <w:tcW w:w="99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6A6605" w:rsidRPr="006A6605" w:rsidRDefault="006A6605" w:rsidP="006A6605">
            <w:pPr>
              <w:jc w:val="center"/>
              <w:rPr>
                <w:rFonts w:ascii="Arial" w:hAnsi="Arial" w:cs="Arial"/>
                <w:b/>
                <w:bCs/>
                <w:sz w:val="16"/>
                <w:szCs w:val="16"/>
                <w:lang w:val="et-EE" w:eastAsia="et-EE"/>
              </w:rPr>
            </w:pPr>
            <w:r w:rsidRPr="006A6605">
              <w:rPr>
                <w:rFonts w:ascii="Arial" w:hAnsi="Arial" w:cs="Arial"/>
                <w:b/>
                <w:bCs/>
                <w:sz w:val="16"/>
                <w:szCs w:val="16"/>
                <w:lang w:val="et-EE" w:eastAsia="et-EE"/>
              </w:rPr>
              <w:t xml:space="preserve">2021 eelarve  </w:t>
            </w:r>
          </w:p>
        </w:tc>
        <w:tc>
          <w:tcPr>
            <w:tcW w:w="993"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6A6605" w:rsidRPr="006A6605" w:rsidRDefault="006A6605" w:rsidP="006A6605">
            <w:pPr>
              <w:jc w:val="center"/>
              <w:rPr>
                <w:rFonts w:ascii="Arial" w:hAnsi="Arial" w:cs="Arial"/>
                <w:b/>
                <w:bCs/>
                <w:sz w:val="16"/>
                <w:szCs w:val="16"/>
                <w:lang w:val="et-EE" w:eastAsia="et-EE"/>
              </w:rPr>
            </w:pPr>
            <w:r w:rsidRPr="006A6605">
              <w:rPr>
                <w:rFonts w:ascii="Arial" w:hAnsi="Arial" w:cs="Arial"/>
                <w:b/>
                <w:bCs/>
                <w:sz w:val="16"/>
                <w:szCs w:val="16"/>
                <w:lang w:val="et-EE" w:eastAsia="et-EE"/>
              </w:rPr>
              <w:t xml:space="preserve">2022 eelarve  </w:t>
            </w:r>
          </w:p>
        </w:tc>
        <w:tc>
          <w:tcPr>
            <w:tcW w:w="992" w:type="dxa"/>
            <w:tcBorders>
              <w:top w:val="single" w:sz="8" w:space="0" w:color="000000"/>
              <w:left w:val="nil"/>
              <w:bottom w:val="single" w:sz="8" w:space="0" w:color="000000"/>
              <w:right w:val="single" w:sz="4" w:space="0" w:color="000000"/>
            </w:tcBorders>
            <w:shd w:val="clear" w:color="auto" w:fill="D6E3BC" w:themeFill="accent3" w:themeFillTint="66"/>
            <w:vAlign w:val="bottom"/>
            <w:hideMark/>
          </w:tcPr>
          <w:p w:rsidR="006A6605" w:rsidRPr="006A6605" w:rsidRDefault="006A6605" w:rsidP="006A6605">
            <w:pPr>
              <w:jc w:val="center"/>
              <w:rPr>
                <w:rFonts w:ascii="Arial" w:hAnsi="Arial" w:cs="Arial"/>
                <w:b/>
                <w:bCs/>
                <w:sz w:val="16"/>
                <w:szCs w:val="16"/>
                <w:lang w:val="et-EE" w:eastAsia="et-EE"/>
              </w:rPr>
            </w:pPr>
            <w:r w:rsidRPr="006A6605">
              <w:rPr>
                <w:rFonts w:ascii="Arial" w:hAnsi="Arial" w:cs="Arial"/>
                <w:b/>
                <w:bCs/>
                <w:sz w:val="16"/>
                <w:szCs w:val="16"/>
                <w:lang w:val="et-EE" w:eastAsia="et-EE"/>
              </w:rPr>
              <w:t xml:space="preserve">2023 eelarve  </w:t>
            </w:r>
          </w:p>
        </w:tc>
      </w:tr>
      <w:tr w:rsidR="006A6605" w:rsidRPr="00C57956" w:rsidTr="00C57956">
        <w:trPr>
          <w:trHeight w:val="225"/>
        </w:trPr>
        <w:tc>
          <w:tcPr>
            <w:tcW w:w="2117" w:type="dxa"/>
            <w:tcBorders>
              <w:top w:val="single" w:sz="4" w:space="0" w:color="000000"/>
              <w:left w:val="single" w:sz="8" w:space="0" w:color="000000"/>
              <w:bottom w:val="single" w:sz="4" w:space="0" w:color="000000"/>
              <w:right w:val="nil"/>
            </w:tcBorders>
            <w:shd w:val="clear" w:color="auto" w:fill="FFFFFF" w:themeFill="background1"/>
            <w:vAlign w:val="bottom"/>
            <w:hideMark/>
          </w:tcPr>
          <w:p w:rsidR="006A6605" w:rsidRPr="00C57956" w:rsidRDefault="006A6605" w:rsidP="006A6605">
            <w:pPr>
              <w:rPr>
                <w:rFonts w:ascii="Arial" w:hAnsi="Arial" w:cs="Arial"/>
                <w:b/>
                <w:bCs/>
                <w:sz w:val="16"/>
                <w:szCs w:val="16"/>
                <w:lang w:val="et-EE" w:eastAsia="et-EE"/>
              </w:rPr>
            </w:pPr>
            <w:r w:rsidRPr="00C57956">
              <w:rPr>
                <w:rFonts w:ascii="Arial" w:hAnsi="Arial" w:cs="Arial"/>
                <w:b/>
                <w:bCs/>
                <w:sz w:val="16"/>
                <w:szCs w:val="16"/>
                <w:lang w:val="et-EE" w:eastAsia="et-EE"/>
              </w:rPr>
              <w:t>Finantseerimistegevus</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6A6605" w:rsidRPr="00C57956" w:rsidRDefault="006A6605" w:rsidP="006A6605">
            <w:pPr>
              <w:jc w:val="right"/>
              <w:rPr>
                <w:rFonts w:ascii="Arial" w:hAnsi="Arial" w:cs="Arial"/>
                <w:b/>
                <w:bCs/>
                <w:sz w:val="16"/>
                <w:szCs w:val="16"/>
                <w:lang w:val="et-EE" w:eastAsia="et-EE"/>
              </w:rPr>
            </w:pPr>
            <w:r w:rsidRPr="00C57956">
              <w:rPr>
                <w:rFonts w:ascii="Arial" w:hAnsi="Arial" w:cs="Arial"/>
                <w:b/>
                <w:bCs/>
                <w:sz w:val="16"/>
                <w:szCs w:val="16"/>
                <w:lang w:val="et-EE" w:eastAsia="et-EE"/>
              </w:rPr>
              <w:t>226 744</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6A6605" w:rsidRPr="00C57956" w:rsidRDefault="006A6605" w:rsidP="006A6605">
            <w:pPr>
              <w:jc w:val="right"/>
              <w:rPr>
                <w:rFonts w:ascii="Arial" w:hAnsi="Arial" w:cs="Arial"/>
                <w:b/>
                <w:bCs/>
                <w:sz w:val="16"/>
                <w:szCs w:val="16"/>
                <w:lang w:val="et-EE" w:eastAsia="et-EE"/>
              </w:rPr>
            </w:pPr>
            <w:r w:rsidRPr="00C57956">
              <w:rPr>
                <w:rFonts w:ascii="Arial" w:hAnsi="Arial" w:cs="Arial"/>
                <w:b/>
                <w:bCs/>
                <w:sz w:val="16"/>
                <w:szCs w:val="16"/>
                <w:lang w:val="et-EE" w:eastAsia="et-EE"/>
              </w:rPr>
              <w:t>158 000</w:t>
            </w:r>
          </w:p>
        </w:tc>
        <w:tc>
          <w:tcPr>
            <w:tcW w:w="992" w:type="dxa"/>
            <w:tcBorders>
              <w:top w:val="single" w:sz="4" w:space="0" w:color="auto"/>
              <w:left w:val="nil"/>
              <w:bottom w:val="single" w:sz="4" w:space="0" w:color="auto"/>
              <w:right w:val="single" w:sz="4" w:space="0" w:color="auto"/>
            </w:tcBorders>
            <w:shd w:val="clear" w:color="auto" w:fill="FFFFFF" w:themeFill="background1"/>
            <w:vAlign w:val="bottom"/>
            <w:hideMark/>
          </w:tcPr>
          <w:p w:rsidR="006A6605" w:rsidRPr="00C57956" w:rsidRDefault="006A6605" w:rsidP="006A6605">
            <w:pPr>
              <w:jc w:val="right"/>
              <w:rPr>
                <w:rFonts w:ascii="Arial" w:hAnsi="Arial" w:cs="Arial"/>
                <w:b/>
                <w:bCs/>
                <w:sz w:val="16"/>
                <w:szCs w:val="16"/>
                <w:lang w:val="et-EE" w:eastAsia="et-EE"/>
              </w:rPr>
            </w:pPr>
            <w:r w:rsidRPr="00C57956">
              <w:rPr>
                <w:rFonts w:ascii="Arial" w:hAnsi="Arial" w:cs="Arial"/>
                <w:b/>
                <w:bCs/>
                <w:sz w:val="16"/>
                <w:szCs w:val="16"/>
                <w:lang w:val="et-EE" w:eastAsia="et-EE"/>
              </w:rPr>
              <w:t>1 400 000</w:t>
            </w:r>
          </w:p>
        </w:tc>
        <w:tc>
          <w:tcPr>
            <w:tcW w:w="992" w:type="dxa"/>
            <w:tcBorders>
              <w:top w:val="single" w:sz="4" w:space="0" w:color="auto"/>
              <w:left w:val="nil"/>
              <w:bottom w:val="single" w:sz="4" w:space="0" w:color="auto"/>
              <w:right w:val="single" w:sz="4" w:space="0" w:color="auto"/>
            </w:tcBorders>
            <w:shd w:val="clear" w:color="auto" w:fill="FFFFFF" w:themeFill="background1"/>
            <w:vAlign w:val="bottom"/>
            <w:hideMark/>
          </w:tcPr>
          <w:p w:rsidR="006A6605" w:rsidRPr="00C57956" w:rsidRDefault="006A6605" w:rsidP="006A6605">
            <w:pPr>
              <w:jc w:val="right"/>
              <w:rPr>
                <w:rFonts w:ascii="Arial" w:hAnsi="Arial" w:cs="Arial"/>
                <w:b/>
                <w:bCs/>
                <w:sz w:val="16"/>
                <w:szCs w:val="16"/>
                <w:lang w:val="et-EE" w:eastAsia="et-EE"/>
              </w:rPr>
            </w:pPr>
            <w:r w:rsidRPr="00C57956">
              <w:rPr>
                <w:rFonts w:ascii="Arial" w:hAnsi="Arial" w:cs="Arial"/>
                <w:b/>
                <w:bCs/>
                <w:sz w:val="16"/>
                <w:szCs w:val="16"/>
                <w:lang w:val="et-EE" w:eastAsia="et-EE"/>
              </w:rPr>
              <w:t>250 000</w:t>
            </w:r>
          </w:p>
        </w:tc>
        <w:tc>
          <w:tcPr>
            <w:tcW w:w="992" w:type="dxa"/>
            <w:tcBorders>
              <w:top w:val="single" w:sz="4" w:space="0" w:color="auto"/>
              <w:left w:val="nil"/>
              <w:bottom w:val="single" w:sz="4" w:space="0" w:color="auto"/>
              <w:right w:val="single" w:sz="4" w:space="0" w:color="auto"/>
            </w:tcBorders>
            <w:shd w:val="clear" w:color="auto" w:fill="FFFFFF" w:themeFill="background1"/>
            <w:vAlign w:val="bottom"/>
            <w:hideMark/>
          </w:tcPr>
          <w:p w:rsidR="006A6605" w:rsidRPr="00C57956" w:rsidRDefault="006A6605" w:rsidP="006A6605">
            <w:pPr>
              <w:jc w:val="right"/>
              <w:rPr>
                <w:rFonts w:ascii="Arial" w:hAnsi="Arial" w:cs="Arial"/>
                <w:b/>
                <w:bCs/>
                <w:sz w:val="16"/>
                <w:szCs w:val="16"/>
                <w:lang w:val="et-EE" w:eastAsia="et-EE"/>
              </w:rPr>
            </w:pPr>
            <w:r w:rsidRPr="00C57956">
              <w:rPr>
                <w:rFonts w:ascii="Arial" w:hAnsi="Arial" w:cs="Arial"/>
                <w:b/>
                <w:bCs/>
                <w:sz w:val="16"/>
                <w:szCs w:val="16"/>
                <w:lang w:val="et-EE" w:eastAsia="et-EE"/>
              </w:rPr>
              <w:t>100 000</w:t>
            </w:r>
          </w:p>
        </w:tc>
        <w:tc>
          <w:tcPr>
            <w:tcW w:w="993" w:type="dxa"/>
            <w:tcBorders>
              <w:top w:val="single" w:sz="4" w:space="0" w:color="auto"/>
              <w:left w:val="nil"/>
              <w:bottom w:val="single" w:sz="4" w:space="0" w:color="auto"/>
              <w:right w:val="single" w:sz="4" w:space="0" w:color="auto"/>
            </w:tcBorders>
            <w:shd w:val="clear" w:color="auto" w:fill="FFFFFF" w:themeFill="background1"/>
            <w:vAlign w:val="bottom"/>
            <w:hideMark/>
          </w:tcPr>
          <w:p w:rsidR="006A6605" w:rsidRPr="00C57956" w:rsidRDefault="006A6605" w:rsidP="006A6605">
            <w:pPr>
              <w:jc w:val="right"/>
              <w:rPr>
                <w:rFonts w:ascii="Arial" w:hAnsi="Arial" w:cs="Arial"/>
                <w:b/>
                <w:bCs/>
                <w:sz w:val="16"/>
                <w:szCs w:val="16"/>
                <w:lang w:val="et-EE" w:eastAsia="et-EE"/>
              </w:rPr>
            </w:pPr>
            <w:r w:rsidRPr="00C57956">
              <w:rPr>
                <w:rFonts w:ascii="Arial" w:hAnsi="Arial" w:cs="Arial"/>
                <w:b/>
                <w:bCs/>
                <w:sz w:val="16"/>
                <w:szCs w:val="16"/>
                <w:lang w:val="et-EE" w:eastAsia="et-EE"/>
              </w:rPr>
              <w:t>0</w:t>
            </w:r>
          </w:p>
        </w:tc>
        <w:tc>
          <w:tcPr>
            <w:tcW w:w="992" w:type="dxa"/>
            <w:tcBorders>
              <w:top w:val="single" w:sz="4" w:space="0" w:color="000000"/>
              <w:left w:val="nil"/>
              <w:bottom w:val="single" w:sz="4" w:space="0" w:color="000000"/>
              <w:right w:val="single" w:sz="8" w:space="0" w:color="000000"/>
            </w:tcBorders>
            <w:shd w:val="clear" w:color="auto" w:fill="FFFFFF" w:themeFill="background1"/>
            <w:vAlign w:val="bottom"/>
            <w:hideMark/>
          </w:tcPr>
          <w:p w:rsidR="006A6605" w:rsidRPr="00C57956" w:rsidRDefault="006A6605" w:rsidP="006A6605">
            <w:pPr>
              <w:jc w:val="right"/>
              <w:rPr>
                <w:rFonts w:ascii="Arial" w:hAnsi="Arial" w:cs="Arial"/>
                <w:b/>
                <w:bCs/>
                <w:sz w:val="16"/>
                <w:szCs w:val="16"/>
                <w:lang w:val="et-EE" w:eastAsia="et-EE"/>
              </w:rPr>
            </w:pPr>
            <w:r w:rsidRPr="00C57956">
              <w:rPr>
                <w:rFonts w:ascii="Arial" w:hAnsi="Arial" w:cs="Arial"/>
                <w:b/>
                <w:bCs/>
                <w:sz w:val="16"/>
                <w:szCs w:val="16"/>
                <w:lang w:val="et-EE" w:eastAsia="et-EE"/>
              </w:rPr>
              <w:t>-350 000</w:t>
            </w:r>
          </w:p>
        </w:tc>
      </w:tr>
      <w:tr w:rsidR="006A6605" w:rsidRPr="00C57956" w:rsidTr="00C57956">
        <w:trPr>
          <w:trHeight w:val="225"/>
        </w:trPr>
        <w:tc>
          <w:tcPr>
            <w:tcW w:w="2117" w:type="dxa"/>
            <w:tcBorders>
              <w:top w:val="nil"/>
              <w:left w:val="single" w:sz="8" w:space="0" w:color="000000"/>
              <w:bottom w:val="single" w:sz="4" w:space="0" w:color="000000"/>
              <w:right w:val="nil"/>
            </w:tcBorders>
            <w:shd w:val="clear" w:color="auto" w:fill="FFFFFF" w:themeFill="background1"/>
            <w:noWrap/>
            <w:vAlign w:val="bottom"/>
            <w:hideMark/>
          </w:tcPr>
          <w:p w:rsidR="006A6605" w:rsidRPr="00C57956" w:rsidRDefault="006A6605" w:rsidP="006A6605">
            <w:pPr>
              <w:rPr>
                <w:rFonts w:ascii="Arial" w:hAnsi="Arial" w:cs="Arial"/>
                <w:sz w:val="16"/>
                <w:szCs w:val="16"/>
                <w:lang w:val="et-EE" w:eastAsia="et-EE"/>
              </w:rPr>
            </w:pPr>
            <w:r w:rsidRPr="00C57956">
              <w:rPr>
                <w:rFonts w:ascii="Arial" w:hAnsi="Arial" w:cs="Arial"/>
                <w:sz w:val="16"/>
                <w:szCs w:val="16"/>
                <w:lang w:val="et-EE" w:eastAsia="et-EE"/>
              </w:rPr>
              <w:lastRenderedPageBreak/>
              <w:t xml:space="preserve">   Kohustuste võtmine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6A6605" w:rsidRPr="00C57956" w:rsidRDefault="006A6605" w:rsidP="006A6605">
            <w:pPr>
              <w:jc w:val="right"/>
              <w:rPr>
                <w:rFonts w:ascii="Arial" w:hAnsi="Arial" w:cs="Arial"/>
                <w:sz w:val="16"/>
                <w:szCs w:val="16"/>
                <w:lang w:val="et-EE" w:eastAsia="et-EE"/>
              </w:rPr>
            </w:pPr>
            <w:r w:rsidRPr="00C57956">
              <w:rPr>
                <w:rFonts w:ascii="Arial" w:hAnsi="Arial" w:cs="Arial"/>
                <w:sz w:val="16"/>
                <w:szCs w:val="16"/>
                <w:lang w:val="et-EE" w:eastAsia="et-EE"/>
              </w:rPr>
              <w:t>707 415</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6A6605" w:rsidRPr="00C57956" w:rsidRDefault="006A6605" w:rsidP="006A6605">
            <w:pPr>
              <w:jc w:val="right"/>
              <w:rPr>
                <w:rFonts w:ascii="Arial" w:hAnsi="Arial" w:cs="Arial"/>
                <w:sz w:val="16"/>
                <w:szCs w:val="16"/>
                <w:lang w:val="et-EE" w:eastAsia="et-EE"/>
              </w:rPr>
            </w:pPr>
            <w:r w:rsidRPr="00C57956">
              <w:rPr>
                <w:rFonts w:ascii="Arial" w:hAnsi="Arial" w:cs="Arial"/>
                <w:sz w:val="16"/>
                <w:szCs w:val="16"/>
                <w:lang w:val="et-EE" w:eastAsia="et-EE"/>
              </w:rPr>
              <w:t>300 000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6A6605" w:rsidRPr="00C57956" w:rsidRDefault="006A6605" w:rsidP="006A6605">
            <w:pPr>
              <w:jc w:val="right"/>
              <w:rPr>
                <w:rFonts w:ascii="Arial" w:hAnsi="Arial" w:cs="Arial"/>
                <w:sz w:val="16"/>
                <w:szCs w:val="16"/>
                <w:lang w:val="et-EE" w:eastAsia="et-EE"/>
              </w:rPr>
            </w:pPr>
            <w:r w:rsidRPr="00C57956">
              <w:rPr>
                <w:rFonts w:ascii="Arial" w:hAnsi="Arial" w:cs="Arial"/>
                <w:sz w:val="16"/>
                <w:szCs w:val="16"/>
                <w:lang w:val="et-EE" w:eastAsia="et-EE"/>
              </w:rPr>
              <w:t>1 700 000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6A6605" w:rsidRPr="00C57956" w:rsidRDefault="006A6605" w:rsidP="006A6605">
            <w:pPr>
              <w:jc w:val="right"/>
              <w:rPr>
                <w:rFonts w:ascii="Arial" w:hAnsi="Arial" w:cs="Arial"/>
                <w:sz w:val="16"/>
                <w:szCs w:val="16"/>
                <w:lang w:val="et-EE" w:eastAsia="et-EE"/>
              </w:rPr>
            </w:pPr>
            <w:r w:rsidRPr="00C57956">
              <w:rPr>
                <w:rFonts w:ascii="Arial" w:hAnsi="Arial" w:cs="Arial"/>
                <w:sz w:val="16"/>
                <w:szCs w:val="16"/>
                <w:lang w:val="et-EE" w:eastAsia="et-EE"/>
              </w:rPr>
              <w:t>500 000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6A6605" w:rsidRPr="00C57956" w:rsidRDefault="006A6605" w:rsidP="006A6605">
            <w:pPr>
              <w:jc w:val="right"/>
              <w:rPr>
                <w:rFonts w:ascii="Arial" w:hAnsi="Arial" w:cs="Arial"/>
                <w:sz w:val="16"/>
                <w:szCs w:val="16"/>
                <w:lang w:val="et-EE" w:eastAsia="et-EE"/>
              </w:rPr>
            </w:pPr>
            <w:r w:rsidRPr="00C57956">
              <w:rPr>
                <w:rFonts w:ascii="Arial" w:hAnsi="Arial" w:cs="Arial"/>
                <w:sz w:val="16"/>
                <w:szCs w:val="16"/>
                <w:lang w:val="et-EE" w:eastAsia="et-EE"/>
              </w:rPr>
              <w:t>350 000</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6A6605" w:rsidRPr="00C57956" w:rsidRDefault="006A6605" w:rsidP="006A6605">
            <w:pPr>
              <w:jc w:val="right"/>
              <w:rPr>
                <w:rFonts w:ascii="Arial" w:hAnsi="Arial" w:cs="Arial"/>
                <w:sz w:val="16"/>
                <w:szCs w:val="16"/>
                <w:lang w:val="et-EE" w:eastAsia="et-EE"/>
              </w:rPr>
            </w:pPr>
            <w:r w:rsidRPr="00C57956">
              <w:rPr>
                <w:rFonts w:ascii="Arial" w:hAnsi="Arial" w:cs="Arial"/>
                <w:sz w:val="16"/>
                <w:szCs w:val="16"/>
                <w:lang w:val="et-EE" w:eastAsia="et-EE"/>
              </w:rPr>
              <w:t>300 000</w:t>
            </w:r>
          </w:p>
        </w:tc>
        <w:tc>
          <w:tcPr>
            <w:tcW w:w="992" w:type="dxa"/>
            <w:tcBorders>
              <w:top w:val="nil"/>
              <w:left w:val="nil"/>
              <w:bottom w:val="single" w:sz="4" w:space="0" w:color="000000"/>
              <w:right w:val="single" w:sz="4" w:space="0" w:color="000000"/>
            </w:tcBorders>
            <w:shd w:val="clear" w:color="auto" w:fill="FFFFFF" w:themeFill="background1"/>
            <w:noWrap/>
            <w:vAlign w:val="bottom"/>
            <w:hideMark/>
          </w:tcPr>
          <w:p w:rsidR="006A6605" w:rsidRPr="00C57956" w:rsidRDefault="006A6605" w:rsidP="006A6605">
            <w:pPr>
              <w:jc w:val="right"/>
              <w:rPr>
                <w:rFonts w:ascii="Arial" w:hAnsi="Arial" w:cs="Arial"/>
                <w:sz w:val="16"/>
                <w:szCs w:val="16"/>
                <w:lang w:val="et-EE" w:eastAsia="et-EE"/>
              </w:rPr>
            </w:pPr>
            <w:r w:rsidRPr="00C57956">
              <w:rPr>
                <w:rFonts w:ascii="Arial" w:hAnsi="Arial" w:cs="Arial"/>
                <w:sz w:val="16"/>
                <w:szCs w:val="16"/>
                <w:lang w:val="et-EE" w:eastAsia="et-EE"/>
              </w:rPr>
              <w:t>0</w:t>
            </w:r>
          </w:p>
        </w:tc>
      </w:tr>
      <w:tr w:rsidR="006A6605" w:rsidRPr="00C57956" w:rsidTr="00C57956">
        <w:trPr>
          <w:trHeight w:val="225"/>
        </w:trPr>
        <w:tc>
          <w:tcPr>
            <w:tcW w:w="2117" w:type="dxa"/>
            <w:tcBorders>
              <w:top w:val="nil"/>
              <w:left w:val="single" w:sz="8" w:space="0" w:color="000000"/>
              <w:bottom w:val="single" w:sz="4" w:space="0" w:color="000000"/>
              <w:right w:val="nil"/>
            </w:tcBorders>
            <w:shd w:val="clear" w:color="auto" w:fill="FFFFFF" w:themeFill="background1"/>
            <w:noWrap/>
            <w:vAlign w:val="bottom"/>
            <w:hideMark/>
          </w:tcPr>
          <w:p w:rsidR="006A6605" w:rsidRPr="00C57956" w:rsidRDefault="006A6605" w:rsidP="006A6605">
            <w:pPr>
              <w:rPr>
                <w:rFonts w:ascii="Arial" w:hAnsi="Arial" w:cs="Arial"/>
                <w:sz w:val="16"/>
                <w:szCs w:val="16"/>
                <w:lang w:val="et-EE" w:eastAsia="et-EE"/>
              </w:rPr>
            </w:pPr>
            <w:r w:rsidRPr="00C57956">
              <w:rPr>
                <w:rFonts w:ascii="Arial" w:hAnsi="Arial" w:cs="Arial"/>
                <w:sz w:val="16"/>
                <w:szCs w:val="16"/>
                <w:lang w:val="et-EE" w:eastAsia="et-EE"/>
              </w:rPr>
              <w:t xml:space="preserve">   Kohustuste tasumine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6A6605" w:rsidRPr="00C57956" w:rsidRDefault="006A6605" w:rsidP="006A6605">
            <w:pPr>
              <w:jc w:val="right"/>
              <w:rPr>
                <w:rFonts w:ascii="Arial" w:hAnsi="Arial" w:cs="Arial"/>
                <w:sz w:val="16"/>
                <w:szCs w:val="16"/>
                <w:lang w:val="et-EE" w:eastAsia="et-EE"/>
              </w:rPr>
            </w:pPr>
            <w:r w:rsidRPr="00C57956">
              <w:rPr>
                <w:rFonts w:ascii="Arial" w:hAnsi="Arial" w:cs="Arial"/>
                <w:sz w:val="16"/>
                <w:szCs w:val="16"/>
                <w:lang w:val="et-EE" w:eastAsia="et-EE"/>
              </w:rPr>
              <w:t>-480 671</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6A6605" w:rsidRPr="00C57956" w:rsidRDefault="006A6605" w:rsidP="006A6605">
            <w:pPr>
              <w:jc w:val="right"/>
              <w:rPr>
                <w:rFonts w:ascii="Arial" w:hAnsi="Arial" w:cs="Arial"/>
                <w:sz w:val="16"/>
                <w:szCs w:val="16"/>
                <w:lang w:val="et-EE" w:eastAsia="et-EE"/>
              </w:rPr>
            </w:pPr>
            <w:r w:rsidRPr="00C57956">
              <w:rPr>
                <w:rFonts w:ascii="Arial" w:hAnsi="Arial" w:cs="Arial"/>
                <w:sz w:val="16"/>
                <w:szCs w:val="16"/>
                <w:lang w:val="et-EE" w:eastAsia="et-EE"/>
              </w:rPr>
              <w:t>-142 000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6A6605" w:rsidRPr="00C57956" w:rsidRDefault="006A6605" w:rsidP="006A6605">
            <w:pPr>
              <w:jc w:val="right"/>
              <w:rPr>
                <w:rFonts w:ascii="Arial" w:hAnsi="Arial" w:cs="Arial"/>
                <w:sz w:val="16"/>
                <w:szCs w:val="16"/>
                <w:lang w:val="et-EE" w:eastAsia="et-EE"/>
              </w:rPr>
            </w:pPr>
            <w:r w:rsidRPr="00C57956">
              <w:rPr>
                <w:rFonts w:ascii="Arial" w:hAnsi="Arial" w:cs="Arial"/>
                <w:sz w:val="16"/>
                <w:szCs w:val="16"/>
                <w:lang w:val="et-EE" w:eastAsia="et-EE"/>
              </w:rPr>
              <w:t>-300 000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6A6605" w:rsidRPr="00C57956" w:rsidRDefault="006A6605" w:rsidP="006A6605">
            <w:pPr>
              <w:jc w:val="right"/>
              <w:rPr>
                <w:rFonts w:ascii="Arial" w:hAnsi="Arial" w:cs="Arial"/>
                <w:sz w:val="16"/>
                <w:szCs w:val="16"/>
                <w:lang w:val="et-EE" w:eastAsia="et-EE"/>
              </w:rPr>
            </w:pPr>
            <w:r w:rsidRPr="00C57956">
              <w:rPr>
                <w:rFonts w:ascii="Arial" w:hAnsi="Arial" w:cs="Arial"/>
                <w:sz w:val="16"/>
                <w:szCs w:val="16"/>
                <w:lang w:val="et-EE" w:eastAsia="et-EE"/>
              </w:rPr>
              <w:t>-250 000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6A6605" w:rsidRPr="00C57956" w:rsidRDefault="006A6605" w:rsidP="006A6605">
            <w:pPr>
              <w:jc w:val="right"/>
              <w:rPr>
                <w:rFonts w:ascii="Arial" w:hAnsi="Arial" w:cs="Arial"/>
                <w:sz w:val="16"/>
                <w:szCs w:val="16"/>
                <w:lang w:val="et-EE" w:eastAsia="et-EE"/>
              </w:rPr>
            </w:pPr>
            <w:r w:rsidRPr="00C57956">
              <w:rPr>
                <w:rFonts w:ascii="Arial" w:hAnsi="Arial" w:cs="Arial"/>
                <w:sz w:val="16"/>
                <w:szCs w:val="16"/>
                <w:lang w:val="et-EE" w:eastAsia="et-EE"/>
              </w:rPr>
              <w:t>-250 000</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6A6605" w:rsidRPr="00C57956" w:rsidRDefault="006A6605" w:rsidP="006A6605">
            <w:pPr>
              <w:jc w:val="right"/>
              <w:rPr>
                <w:rFonts w:ascii="Arial" w:hAnsi="Arial" w:cs="Arial"/>
                <w:sz w:val="16"/>
                <w:szCs w:val="16"/>
                <w:lang w:val="et-EE" w:eastAsia="et-EE"/>
              </w:rPr>
            </w:pPr>
            <w:r w:rsidRPr="00C57956">
              <w:rPr>
                <w:rFonts w:ascii="Arial" w:hAnsi="Arial" w:cs="Arial"/>
                <w:sz w:val="16"/>
                <w:szCs w:val="16"/>
                <w:lang w:val="et-EE" w:eastAsia="et-EE"/>
              </w:rPr>
              <w:t>-300 000</w:t>
            </w:r>
          </w:p>
        </w:tc>
        <w:tc>
          <w:tcPr>
            <w:tcW w:w="992" w:type="dxa"/>
            <w:tcBorders>
              <w:top w:val="nil"/>
              <w:left w:val="nil"/>
              <w:bottom w:val="single" w:sz="4" w:space="0" w:color="000000"/>
              <w:right w:val="single" w:sz="4" w:space="0" w:color="000000"/>
            </w:tcBorders>
            <w:shd w:val="clear" w:color="auto" w:fill="FFFFFF" w:themeFill="background1"/>
            <w:noWrap/>
            <w:vAlign w:val="bottom"/>
            <w:hideMark/>
          </w:tcPr>
          <w:p w:rsidR="006A6605" w:rsidRPr="00C57956" w:rsidRDefault="006A6605" w:rsidP="006A6605">
            <w:pPr>
              <w:jc w:val="right"/>
              <w:rPr>
                <w:rFonts w:ascii="Arial" w:hAnsi="Arial" w:cs="Arial"/>
                <w:sz w:val="16"/>
                <w:szCs w:val="16"/>
                <w:lang w:val="et-EE" w:eastAsia="et-EE"/>
              </w:rPr>
            </w:pPr>
            <w:r w:rsidRPr="00C57956">
              <w:rPr>
                <w:rFonts w:ascii="Arial" w:hAnsi="Arial" w:cs="Arial"/>
                <w:sz w:val="16"/>
                <w:szCs w:val="16"/>
                <w:lang w:val="et-EE" w:eastAsia="et-EE"/>
              </w:rPr>
              <w:t>-350 000</w:t>
            </w:r>
          </w:p>
        </w:tc>
      </w:tr>
    </w:tbl>
    <w:p w:rsidR="006A6605" w:rsidRPr="009207A1" w:rsidRDefault="006A6605" w:rsidP="009207A1">
      <w:pPr>
        <w:spacing w:line="276" w:lineRule="auto"/>
        <w:jc w:val="both"/>
        <w:rPr>
          <w:b/>
          <w:lang w:val="es-ES"/>
        </w:rPr>
      </w:pPr>
    </w:p>
    <w:p w:rsidR="00924C20" w:rsidRPr="009207A1" w:rsidRDefault="002E1E84" w:rsidP="00924C20">
      <w:pPr>
        <w:rPr>
          <w:sz w:val="20"/>
          <w:szCs w:val="20"/>
          <w:lang w:val="et-EE"/>
        </w:rPr>
      </w:pPr>
      <w:r w:rsidRPr="009207A1">
        <w:rPr>
          <w:b/>
          <w:sz w:val="20"/>
          <w:szCs w:val="20"/>
          <w:lang w:val="et-EE"/>
        </w:rPr>
        <w:t>Tabel 10. Viru-Nigula valla finantseerimistegevus.</w:t>
      </w:r>
    </w:p>
    <w:p w:rsidR="00851132" w:rsidRPr="009207A1" w:rsidRDefault="00851132" w:rsidP="008513EC">
      <w:pPr>
        <w:jc w:val="both"/>
        <w:rPr>
          <w:sz w:val="20"/>
          <w:szCs w:val="20"/>
          <w:lang w:val="et-EE"/>
        </w:rPr>
      </w:pPr>
    </w:p>
    <w:p w:rsidR="00924C20" w:rsidRPr="00F80C39" w:rsidRDefault="00924C20" w:rsidP="00851132">
      <w:pPr>
        <w:spacing w:line="276" w:lineRule="auto"/>
        <w:jc w:val="both"/>
        <w:rPr>
          <w:lang w:val="et-EE"/>
        </w:rPr>
      </w:pPr>
      <w:r w:rsidRPr="00F80C39">
        <w:rPr>
          <w:lang w:val="et-EE"/>
        </w:rPr>
        <w:t>Laenude võtmine on vajalik investeeringute tagamiseks</w:t>
      </w:r>
      <w:r w:rsidR="00B1324A" w:rsidRPr="00F80C39">
        <w:rPr>
          <w:lang w:val="et-EE"/>
        </w:rPr>
        <w:t xml:space="preserve"> ja seda tehakse </w:t>
      </w:r>
      <w:r w:rsidRPr="00F80C39">
        <w:rPr>
          <w:lang w:val="et-EE"/>
        </w:rPr>
        <w:t xml:space="preserve">kooskõlas eelarve võimekusega – vabad vahendid põhitegevuse tulemist ja kinnipidamine seadustest, mis puudutavad </w:t>
      </w:r>
      <w:r w:rsidR="00B1324A" w:rsidRPr="00F80C39">
        <w:rPr>
          <w:lang w:val="et-EE"/>
        </w:rPr>
        <w:t xml:space="preserve">kohalike omavalitsuste </w:t>
      </w:r>
      <w:r w:rsidRPr="00F80C39">
        <w:rPr>
          <w:lang w:val="et-EE"/>
        </w:rPr>
        <w:t>netovõlakoormuse arvutamist.</w:t>
      </w:r>
    </w:p>
    <w:p w:rsidR="008513EC" w:rsidRPr="00F80C39" w:rsidRDefault="008513EC" w:rsidP="00851132">
      <w:pPr>
        <w:spacing w:line="276" w:lineRule="auto"/>
        <w:jc w:val="both"/>
        <w:rPr>
          <w:lang w:val="et-EE"/>
        </w:rPr>
      </w:pPr>
    </w:p>
    <w:p w:rsidR="00924C20" w:rsidRPr="00F80C39" w:rsidRDefault="00924C20" w:rsidP="00851132">
      <w:pPr>
        <w:spacing w:line="276" w:lineRule="auto"/>
        <w:jc w:val="both"/>
        <w:rPr>
          <w:lang w:val="et-EE"/>
        </w:rPr>
      </w:pPr>
      <w:r w:rsidRPr="00F80C39">
        <w:rPr>
          <w:lang w:val="et-EE"/>
        </w:rPr>
        <w:t>Laenude</w:t>
      </w:r>
      <w:r w:rsidR="008513EC" w:rsidRPr="00F80C39">
        <w:rPr>
          <w:lang w:val="et-EE"/>
        </w:rPr>
        <w:t>-</w:t>
      </w:r>
      <w:r w:rsidRPr="00F80C39">
        <w:rPr>
          <w:lang w:val="et-EE"/>
        </w:rPr>
        <w:t>kohus</w:t>
      </w:r>
      <w:r w:rsidR="00592D82" w:rsidRPr="00F80C39">
        <w:rPr>
          <w:lang w:val="et-EE"/>
        </w:rPr>
        <w:t>tuste võtmine peab toimuma</w:t>
      </w:r>
      <w:r w:rsidRPr="00F80C39">
        <w:rPr>
          <w:lang w:val="et-EE"/>
        </w:rPr>
        <w:t xml:space="preserve"> põhimõttel, et eelarve põhitegevuse tulem oleks suurem aastasest laenukohustuste tasumisest (põhiosa + intressid). Seda tingivad proj</w:t>
      </w:r>
      <w:r w:rsidR="008362C6" w:rsidRPr="00F80C39">
        <w:rPr>
          <w:lang w:val="et-EE"/>
        </w:rPr>
        <w:t>ektimeetmete tingimused, mis seavad selle matemaatilis</w:t>
      </w:r>
      <w:r w:rsidRPr="00F80C39">
        <w:rPr>
          <w:lang w:val="et-EE"/>
        </w:rPr>
        <w:t>e nõu</w:t>
      </w:r>
      <w:r w:rsidR="008362C6" w:rsidRPr="00F80C39">
        <w:rPr>
          <w:lang w:val="et-EE"/>
        </w:rPr>
        <w:t>d</w:t>
      </w:r>
      <w:r w:rsidRPr="00F80C39">
        <w:rPr>
          <w:lang w:val="et-EE"/>
        </w:rPr>
        <w:t>e prioriteed</w:t>
      </w:r>
      <w:r w:rsidR="002B3317" w:rsidRPr="00F80C39">
        <w:rPr>
          <w:lang w:val="et-EE"/>
        </w:rPr>
        <w:t>iks. Laenude võtmise strateegias</w:t>
      </w:r>
      <w:r w:rsidRPr="00F80C39">
        <w:rPr>
          <w:lang w:val="et-EE"/>
        </w:rPr>
        <w:t xml:space="preserve"> on arvestatud, et suuremate investeeringute ajaline pingerida on jaotatud perioodil nii, et iga</w:t>
      </w:r>
      <w:r w:rsidR="002B3317" w:rsidRPr="00F80C39">
        <w:rPr>
          <w:lang w:val="et-EE"/>
        </w:rPr>
        <w:t>l</w:t>
      </w:r>
      <w:r w:rsidRPr="00F80C39">
        <w:rPr>
          <w:lang w:val="et-EE"/>
        </w:rPr>
        <w:t xml:space="preserve"> aasta</w:t>
      </w:r>
      <w:r w:rsidR="002B3317" w:rsidRPr="00F80C39">
        <w:rPr>
          <w:lang w:val="et-EE"/>
        </w:rPr>
        <w:t>l saaks vallas teha</w:t>
      </w:r>
      <w:r w:rsidRPr="00F80C39">
        <w:rPr>
          <w:lang w:val="et-EE"/>
        </w:rPr>
        <w:t xml:space="preserve"> s</w:t>
      </w:r>
      <w:r w:rsidR="002B3317" w:rsidRPr="00F80C39">
        <w:rPr>
          <w:lang w:val="et-EE"/>
        </w:rPr>
        <w:t>uurema investeeringu, mida</w:t>
      </w:r>
      <w:r w:rsidRPr="00F80C39">
        <w:rPr>
          <w:lang w:val="et-EE"/>
        </w:rPr>
        <w:t xml:space="preserve"> finantseerida laenu arvelt. Samal ajal vastavalt sõlmitud laenuleping</w:t>
      </w:r>
      <w:r w:rsidR="008513EC" w:rsidRPr="00F80C39">
        <w:rPr>
          <w:lang w:val="et-EE"/>
        </w:rPr>
        <w:t>u</w:t>
      </w:r>
      <w:r w:rsidRPr="00F80C39">
        <w:rPr>
          <w:lang w:val="et-EE"/>
        </w:rPr>
        <w:t xml:space="preserve">tele, </w:t>
      </w:r>
      <w:r w:rsidR="00AA1C18" w:rsidRPr="00F80C39">
        <w:rPr>
          <w:lang w:val="et-EE"/>
        </w:rPr>
        <w:t>algab ka tagasimakse. Põhimõte on</w:t>
      </w:r>
      <w:r w:rsidR="00B1324A" w:rsidRPr="00F80C39">
        <w:rPr>
          <w:lang w:val="et-EE"/>
        </w:rPr>
        <w:t>, et</w:t>
      </w:r>
      <w:r w:rsidRPr="00F80C39">
        <w:rPr>
          <w:lang w:val="et-EE"/>
        </w:rPr>
        <w:t xml:space="preserve"> iga</w:t>
      </w:r>
      <w:r w:rsidR="00B1324A" w:rsidRPr="00F80C39">
        <w:rPr>
          <w:lang w:val="et-EE"/>
        </w:rPr>
        <w:t>l</w:t>
      </w:r>
      <w:r w:rsidRPr="00F80C39">
        <w:rPr>
          <w:lang w:val="et-EE"/>
        </w:rPr>
        <w:t xml:space="preserve"> aasta</w:t>
      </w:r>
      <w:r w:rsidR="00B1324A" w:rsidRPr="00F80C39">
        <w:rPr>
          <w:lang w:val="et-EE"/>
        </w:rPr>
        <w:t>l</w:t>
      </w:r>
      <w:r w:rsidRPr="00F80C39">
        <w:rPr>
          <w:lang w:val="et-EE"/>
        </w:rPr>
        <w:t xml:space="preserve"> võtta laen ja alustada tagasimaksmist, mis ei viiks kokkuvõtte</w:t>
      </w:r>
      <w:r w:rsidR="00B1324A" w:rsidRPr="00F80C39">
        <w:rPr>
          <w:lang w:val="et-EE"/>
        </w:rPr>
        <w:t>s</w:t>
      </w:r>
      <w:r w:rsidRPr="00F80C39">
        <w:rPr>
          <w:lang w:val="et-EE"/>
        </w:rPr>
        <w:t xml:space="preserve"> valla netovõlakoormuse protsenti kriitilise piirini. </w:t>
      </w:r>
    </w:p>
    <w:p w:rsidR="00B1324A" w:rsidRPr="00F80C39" w:rsidRDefault="00B1324A" w:rsidP="00851132">
      <w:pPr>
        <w:spacing w:line="276" w:lineRule="auto"/>
        <w:jc w:val="both"/>
        <w:rPr>
          <w:lang w:val="et-EE"/>
        </w:rPr>
      </w:pPr>
    </w:p>
    <w:p w:rsidR="00924C20" w:rsidRPr="00F80C39" w:rsidRDefault="00924C20" w:rsidP="00851132">
      <w:pPr>
        <w:spacing w:line="276" w:lineRule="auto"/>
        <w:jc w:val="both"/>
        <w:rPr>
          <w:lang w:val="et-EE"/>
        </w:rPr>
      </w:pPr>
      <w:r w:rsidRPr="00F80C39">
        <w:rPr>
          <w:lang w:val="et-EE"/>
        </w:rPr>
        <w:t>Finantseerimistegevuse eesmärgid:</w:t>
      </w:r>
    </w:p>
    <w:p w:rsidR="00924C20" w:rsidRPr="00F80C39" w:rsidRDefault="00924C20" w:rsidP="00851132">
      <w:pPr>
        <w:pStyle w:val="Loendilik"/>
        <w:numPr>
          <w:ilvl w:val="0"/>
          <w:numId w:val="2"/>
        </w:numPr>
        <w:jc w:val="both"/>
        <w:rPr>
          <w:szCs w:val="24"/>
        </w:rPr>
      </w:pPr>
      <w:r w:rsidRPr="00F80C39">
        <w:rPr>
          <w:szCs w:val="24"/>
        </w:rPr>
        <w:t>Kohustuste võtmisel lubada maksimaalseks netovõlakoormuseks kuni 50% aastas;</w:t>
      </w:r>
    </w:p>
    <w:p w:rsidR="00924C20" w:rsidRPr="00F80C39" w:rsidRDefault="00924C20" w:rsidP="00851132">
      <w:pPr>
        <w:pStyle w:val="Loendilik"/>
        <w:numPr>
          <w:ilvl w:val="0"/>
          <w:numId w:val="2"/>
        </w:numPr>
        <w:jc w:val="both"/>
        <w:rPr>
          <w:szCs w:val="24"/>
        </w:rPr>
      </w:pPr>
      <w:r w:rsidRPr="00F80C39">
        <w:rPr>
          <w:szCs w:val="24"/>
        </w:rPr>
        <w:t>Kohustuste võtmisel ei tohi väheneda valla finantsjätkusuutlikkus</w:t>
      </w:r>
      <w:r w:rsidR="00B1324A" w:rsidRPr="00F80C39">
        <w:rPr>
          <w:szCs w:val="24"/>
        </w:rPr>
        <w:t>;</w:t>
      </w:r>
    </w:p>
    <w:p w:rsidR="00A47CF8" w:rsidRPr="00F80C39" w:rsidRDefault="00A47CF8" w:rsidP="00851132">
      <w:pPr>
        <w:pStyle w:val="Loendilik"/>
        <w:numPr>
          <w:ilvl w:val="0"/>
          <w:numId w:val="2"/>
        </w:numPr>
        <w:jc w:val="both"/>
        <w:rPr>
          <w:szCs w:val="24"/>
        </w:rPr>
      </w:pPr>
      <w:r w:rsidRPr="00F80C39">
        <w:rPr>
          <w:szCs w:val="24"/>
        </w:rPr>
        <w:t>Kohustuste võtmine ei ole lubatud põhitegevuse kulude katteks</w:t>
      </w:r>
      <w:r w:rsidR="00B1324A" w:rsidRPr="00F80C39">
        <w:rPr>
          <w:szCs w:val="24"/>
        </w:rPr>
        <w:t>;</w:t>
      </w:r>
    </w:p>
    <w:p w:rsidR="008C75F9" w:rsidRPr="006456B6" w:rsidRDefault="00A63708" w:rsidP="008C75F9">
      <w:pPr>
        <w:pStyle w:val="Loendilik"/>
        <w:numPr>
          <w:ilvl w:val="0"/>
          <w:numId w:val="2"/>
        </w:numPr>
        <w:jc w:val="both"/>
        <w:rPr>
          <w:rFonts w:ascii="Verdana" w:hAnsi="Verdana"/>
          <w:sz w:val="22"/>
        </w:rPr>
      </w:pPr>
      <w:r w:rsidRPr="006456B6">
        <w:rPr>
          <w:szCs w:val="24"/>
        </w:rPr>
        <w:t>Kohustuste võtmisel lähtuda põhimõtte</w:t>
      </w:r>
      <w:r w:rsidR="00B1324A" w:rsidRPr="006456B6">
        <w:rPr>
          <w:szCs w:val="24"/>
        </w:rPr>
        <w:t>st</w:t>
      </w:r>
      <w:r w:rsidRPr="006456B6">
        <w:rPr>
          <w:szCs w:val="24"/>
        </w:rPr>
        <w:t>, et prioriteet o</w:t>
      </w:r>
      <w:r w:rsidR="00B1324A" w:rsidRPr="006456B6">
        <w:rPr>
          <w:szCs w:val="24"/>
        </w:rPr>
        <w:t>n</w:t>
      </w:r>
      <w:r w:rsidR="00851132" w:rsidRPr="006456B6">
        <w:rPr>
          <w:szCs w:val="24"/>
        </w:rPr>
        <w:t xml:space="preserve"> sellega saavutada lisaraha</w:t>
      </w:r>
      <w:r w:rsidRPr="006456B6">
        <w:rPr>
          <w:szCs w:val="24"/>
        </w:rPr>
        <w:t xml:space="preserve"> kaasamine.</w:t>
      </w:r>
    </w:p>
    <w:p w:rsidR="008513EC" w:rsidRPr="00BA1430" w:rsidRDefault="00462BE5" w:rsidP="00180BC3">
      <w:pPr>
        <w:pStyle w:val="Pealkiri2"/>
        <w:rPr>
          <w:rFonts w:ascii="Times New Roman" w:hAnsi="Times New Roman" w:cs="Times New Roman"/>
          <w:color w:val="auto"/>
          <w:sz w:val="24"/>
          <w:szCs w:val="24"/>
          <w:lang w:val="et-EE"/>
        </w:rPr>
      </w:pPr>
      <w:bookmarkStart w:id="16" w:name="_Toc521395302"/>
      <w:r w:rsidRPr="00BA1430">
        <w:rPr>
          <w:rFonts w:ascii="Times New Roman" w:hAnsi="Times New Roman" w:cs="Times New Roman"/>
          <w:color w:val="auto"/>
          <w:sz w:val="24"/>
          <w:szCs w:val="24"/>
          <w:lang w:val="et-EE"/>
        </w:rPr>
        <w:t>3.5</w:t>
      </w:r>
      <w:r w:rsidR="00BF118B">
        <w:rPr>
          <w:rFonts w:ascii="Times New Roman" w:hAnsi="Times New Roman" w:cs="Times New Roman"/>
          <w:color w:val="auto"/>
          <w:sz w:val="24"/>
          <w:szCs w:val="24"/>
          <w:lang w:val="et-EE"/>
        </w:rPr>
        <w:t>.</w:t>
      </w:r>
      <w:r w:rsidR="00B7299D" w:rsidRPr="00BA1430">
        <w:rPr>
          <w:rFonts w:ascii="Times New Roman" w:hAnsi="Times New Roman" w:cs="Times New Roman"/>
          <w:color w:val="auto"/>
          <w:sz w:val="24"/>
          <w:szCs w:val="24"/>
          <w:lang w:val="et-EE"/>
        </w:rPr>
        <w:t xml:space="preserve"> Likviidse</w:t>
      </w:r>
      <w:r w:rsidR="00F7097C" w:rsidRPr="00BA1430">
        <w:rPr>
          <w:rFonts w:ascii="Times New Roman" w:hAnsi="Times New Roman" w:cs="Times New Roman"/>
          <w:color w:val="auto"/>
          <w:sz w:val="24"/>
          <w:szCs w:val="24"/>
          <w:lang w:val="et-EE"/>
        </w:rPr>
        <w:t>te</w:t>
      </w:r>
      <w:r w:rsidR="00B7299D" w:rsidRPr="00BA1430">
        <w:rPr>
          <w:rFonts w:ascii="Times New Roman" w:hAnsi="Times New Roman" w:cs="Times New Roman"/>
          <w:color w:val="auto"/>
          <w:sz w:val="24"/>
          <w:szCs w:val="24"/>
          <w:lang w:val="et-EE"/>
        </w:rPr>
        <w:t xml:space="preserve"> varade muutus</w:t>
      </w:r>
      <w:bookmarkEnd w:id="16"/>
    </w:p>
    <w:p w:rsidR="008513EC" w:rsidRPr="00BA1430" w:rsidRDefault="008513EC" w:rsidP="008513EC">
      <w:pPr>
        <w:rPr>
          <w:b/>
          <w:lang w:val="et-EE"/>
        </w:rPr>
      </w:pPr>
    </w:p>
    <w:p w:rsidR="00180BC3" w:rsidRPr="00BA1430" w:rsidRDefault="00180BC3" w:rsidP="008513EC">
      <w:pPr>
        <w:rPr>
          <w:lang w:val="et-EE"/>
        </w:rPr>
      </w:pPr>
      <w:r w:rsidRPr="00BA1430">
        <w:rPr>
          <w:lang w:val="et-EE"/>
        </w:rPr>
        <w:t>Tabel 11 iseloomustab Viru-Nigula valla likviidsete varade dünaamikat.</w:t>
      </w:r>
    </w:p>
    <w:p w:rsidR="00924C20" w:rsidRPr="008513EC" w:rsidRDefault="00924C20" w:rsidP="008513EC">
      <w:pPr>
        <w:rPr>
          <w:rFonts w:ascii="Trebuchet MS" w:hAnsi="Trebuchet MS"/>
          <w:b/>
          <w:lang w:val="et-EE"/>
        </w:rPr>
      </w:pPr>
    </w:p>
    <w:tbl>
      <w:tblPr>
        <w:tblW w:w="9346" w:type="dxa"/>
        <w:tblCellMar>
          <w:left w:w="70" w:type="dxa"/>
          <w:right w:w="70" w:type="dxa"/>
        </w:tblCellMar>
        <w:tblLook w:val="04A0" w:firstRow="1" w:lastRow="0" w:firstColumn="1" w:lastColumn="0" w:noHBand="0" w:noVBand="1"/>
      </w:tblPr>
      <w:tblGrid>
        <w:gridCol w:w="2117"/>
        <w:gridCol w:w="1134"/>
        <w:gridCol w:w="1134"/>
        <w:gridCol w:w="992"/>
        <w:gridCol w:w="992"/>
        <w:gridCol w:w="992"/>
        <w:gridCol w:w="993"/>
        <w:gridCol w:w="992"/>
      </w:tblGrid>
      <w:tr w:rsidR="00794D47" w:rsidRPr="00794D47" w:rsidTr="00341EE2">
        <w:trPr>
          <w:trHeight w:val="1095"/>
        </w:trPr>
        <w:tc>
          <w:tcPr>
            <w:tcW w:w="2117" w:type="dxa"/>
            <w:tcBorders>
              <w:top w:val="single" w:sz="8" w:space="0" w:color="000000"/>
              <w:left w:val="single" w:sz="8" w:space="0" w:color="000000"/>
              <w:bottom w:val="single" w:sz="8" w:space="0" w:color="000000"/>
              <w:right w:val="nil"/>
            </w:tcBorders>
            <w:shd w:val="clear" w:color="auto" w:fill="D6E3BC" w:themeFill="accent3" w:themeFillTint="66"/>
            <w:vAlign w:val="bottom"/>
            <w:hideMark/>
          </w:tcPr>
          <w:p w:rsidR="00794D47" w:rsidRPr="00794D47" w:rsidRDefault="00794D47" w:rsidP="00794D47">
            <w:pPr>
              <w:jc w:val="center"/>
              <w:rPr>
                <w:rFonts w:ascii="Arial" w:hAnsi="Arial" w:cs="Arial"/>
                <w:b/>
                <w:bCs/>
                <w:sz w:val="16"/>
                <w:szCs w:val="16"/>
                <w:lang w:val="et-EE" w:eastAsia="et-EE"/>
              </w:rPr>
            </w:pPr>
            <w:r w:rsidRPr="00794D47">
              <w:rPr>
                <w:rFonts w:ascii="Arial" w:hAnsi="Arial" w:cs="Arial"/>
                <w:b/>
                <w:bCs/>
                <w:sz w:val="16"/>
                <w:szCs w:val="16"/>
                <w:lang w:val="et-EE" w:eastAsia="et-EE"/>
              </w:rPr>
              <w:t>Viru - Nigula vald määruse nr... ja kuupäev</w:t>
            </w:r>
          </w:p>
        </w:tc>
        <w:tc>
          <w:tcPr>
            <w:tcW w:w="113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bottom"/>
            <w:hideMark/>
          </w:tcPr>
          <w:p w:rsidR="00794D47" w:rsidRPr="00794D47" w:rsidRDefault="00794D47" w:rsidP="00794D47">
            <w:pPr>
              <w:jc w:val="center"/>
              <w:rPr>
                <w:rFonts w:ascii="Arial" w:hAnsi="Arial" w:cs="Arial"/>
                <w:b/>
                <w:bCs/>
                <w:sz w:val="16"/>
                <w:szCs w:val="16"/>
                <w:lang w:val="et-EE" w:eastAsia="et-EE"/>
              </w:rPr>
            </w:pPr>
            <w:r w:rsidRPr="00794D47">
              <w:rPr>
                <w:rFonts w:ascii="Arial" w:hAnsi="Arial" w:cs="Arial"/>
                <w:b/>
                <w:bCs/>
                <w:sz w:val="16"/>
                <w:szCs w:val="16"/>
                <w:lang w:val="et-EE" w:eastAsia="et-EE"/>
              </w:rPr>
              <w:t>2017 täitmine</w:t>
            </w:r>
          </w:p>
        </w:tc>
        <w:tc>
          <w:tcPr>
            <w:tcW w:w="1134"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794D47" w:rsidRPr="00794D47" w:rsidRDefault="00794D47" w:rsidP="00794D47">
            <w:pPr>
              <w:jc w:val="center"/>
              <w:rPr>
                <w:rFonts w:ascii="Arial" w:hAnsi="Arial" w:cs="Arial"/>
                <w:b/>
                <w:bCs/>
                <w:sz w:val="16"/>
                <w:szCs w:val="16"/>
                <w:lang w:val="et-EE" w:eastAsia="et-EE"/>
              </w:rPr>
            </w:pPr>
            <w:r w:rsidRPr="00794D47">
              <w:rPr>
                <w:rFonts w:ascii="Arial" w:hAnsi="Arial" w:cs="Arial"/>
                <w:b/>
                <w:bCs/>
                <w:sz w:val="16"/>
                <w:szCs w:val="16"/>
                <w:lang w:val="et-EE" w:eastAsia="et-EE"/>
              </w:rPr>
              <w:t>2018 eeldatav täitmine</w:t>
            </w:r>
          </w:p>
        </w:tc>
        <w:tc>
          <w:tcPr>
            <w:tcW w:w="99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794D47" w:rsidRPr="00794D47" w:rsidRDefault="00794D47" w:rsidP="00794D47">
            <w:pPr>
              <w:jc w:val="center"/>
              <w:rPr>
                <w:rFonts w:ascii="Arial" w:hAnsi="Arial" w:cs="Arial"/>
                <w:b/>
                <w:bCs/>
                <w:sz w:val="16"/>
                <w:szCs w:val="16"/>
                <w:lang w:val="et-EE" w:eastAsia="et-EE"/>
              </w:rPr>
            </w:pPr>
            <w:r w:rsidRPr="00794D47">
              <w:rPr>
                <w:rFonts w:ascii="Arial" w:hAnsi="Arial" w:cs="Arial"/>
                <w:b/>
                <w:bCs/>
                <w:sz w:val="16"/>
                <w:szCs w:val="16"/>
                <w:lang w:val="et-EE" w:eastAsia="et-EE"/>
              </w:rPr>
              <w:t xml:space="preserve">2019 eelarve  </w:t>
            </w:r>
          </w:p>
        </w:tc>
        <w:tc>
          <w:tcPr>
            <w:tcW w:w="99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794D47" w:rsidRPr="00794D47" w:rsidRDefault="00794D47" w:rsidP="00794D47">
            <w:pPr>
              <w:jc w:val="center"/>
              <w:rPr>
                <w:rFonts w:ascii="Arial" w:hAnsi="Arial" w:cs="Arial"/>
                <w:b/>
                <w:bCs/>
                <w:sz w:val="16"/>
                <w:szCs w:val="16"/>
                <w:lang w:val="et-EE" w:eastAsia="et-EE"/>
              </w:rPr>
            </w:pPr>
            <w:r w:rsidRPr="00794D47">
              <w:rPr>
                <w:rFonts w:ascii="Arial" w:hAnsi="Arial" w:cs="Arial"/>
                <w:b/>
                <w:bCs/>
                <w:sz w:val="16"/>
                <w:szCs w:val="16"/>
                <w:lang w:val="et-EE" w:eastAsia="et-EE"/>
              </w:rPr>
              <w:t xml:space="preserve">2020 eelarve  </w:t>
            </w:r>
          </w:p>
        </w:tc>
        <w:tc>
          <w:tcPr>
            <w:tcW w:w="99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794D47" w:rsidRPr="00794D47" w:rsidRDefault="00794D47" w:rsidP="00794D47">
            <w:pPr>
              <w:jc w:val="center"/>
              <w:rPr>
                <w:rFonts w:ascii="Arial" w:hAnsi="Arial" w:cs="Arial"/>
                <w:b/>
                <w:bCs/>
                <w:sz w:val="16"/>
                <w:szCs w:val="16"/>
                <w:lang w:val="et-EE" w:eastAsia="et-EE"/>
              </w:rPr>
            </w:pPr>
            <w:r w:rsidRPr="00794D47">
              <w:rPr>
                <w:rFonts w:ascii="Arial" w:hAnsi="Arial" w:cs="Arial"/>
                <w:b/>
                <w:bCs/>
                <w:sz w:val="16"/>
                <w:szCs w:val="16"/>
                <w:lang w:val="et-EE" w:eastAsia="et-EE"/>
              </w:rPr>
              <w:t xml:space="preserve">2021 eelarve  </w:t>
            </w:r>
          </w:p>
        </w:tc>
        <w:tc>
          <w:tcPr>
            <w:tcW w:w="993"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794D47" w:rsidRPr="00794D47" w:rsidRDefault="00794D47" w:rsidP="00794D47">
            <w:pPr>
              <w:jc w:val="center"/>
              <w:rPr>
                <w:rFonts w:ascii="Arial" w:hAnsi="Arial" w:cs="Arial"/>
                <w:b/>
                <w:bCs/>
                <w:sz w:val="16"/>
                <w:szCs w:val="16"/>
                <w:lang w:val="et-EE" w:eastAsia="et-EE"/>
              </w:rPr>
            </w:pPr>
            <w:r w:rsidRPr="00794D47">
              <w:rPr>
                <w:rFonts w:ascii="Arial" w:hAnsi="Arial" w:cs="Arial"/>
                <w:b/>
                <w:bCs/>
                <w:sz w:val="16"/>
                <w:szCs w:val="16"/>
                <w:lang w:val="et-EE" w:eastAsia="et-EE"/>
              </w:rPr>
              <w:t xml:space="preserve">2022 eelarve  </w:t>
            </w:r>
          </w:p>
        </w:tc>
        <w:tc>
          <w:tcPr>
            <w:tcW w:w="992" w:type="dxa"/>
            <w:tcBorders>
              <w:top w:val="single" w:sz="8" w:space="0" w:color="000000"/>
              <w:left w:val="nil"/>
              <w:bottom w:val="single" w:sz="8" w:space="0" w:color="000000"/>
              <w:right w:val="single" w:sz="4" w:space="0" w:color="000000"/>
            </w:tcBorders>
            <w:shd w:val="clear" w:color="auto" w:fill="D6E3BC" w:themeFill="accent3" w:themeFillTint="66"/>
            <w:vAlign w:val="bottom"/>
            <w:hideMark/>
          </w:tcPr>
          <w:p w:rsidR="00794D47" w:rsidRPr="00794D47" w:rsidRDefault="00794D47" w:rsidP="00794D47">
            <w:pPr>
              <w:jc w:val="center"/>
              <w:rPr>
                <w:rFonts w:ascii="Arial" w:hAnsi="Arial" w:cs="Arial"/>
                <w:b/>
                <w:bCs/>
                <w:sz w:val="16"/>
                <w:szCs w:val="16"/>
                <w:lang w:val="et-EE" w:eastAsia="et-EE"/>
              </w:rPr>
            </w:pPr>
            <w:r w:rsidRPr="00794D47">
              <w:rPr>
                <w:rFonts w:ascii="Arial" w:hAnsi="Arial" w:cs="Arial"/>
                <w:b/>
                <w:bCs/>
                <w:sz w:val="16"/>
                <w:szCs w:val="16"/>
                <w:lang w:val="et-EE" w:eastAsia="et-EE"/>
              </w:rPr>
              <w:t xml:space="preserve">2023 eelarve  </w:t>
            </w:r>
          </w:p>
        </w:tc>
      </w:tr>
      <w:tr w:rsidR="00794D47" w:rsidRPr="001E5437" w:rsidTr="001E5437">
        <w:trPr>
          <w:trHeight w:val="450"/>
        </w:trPr>
        <w:tc>
          <w:tcPr>
            <w:tcW w:w="2117" w:type="dxa"/>
            <w:tcBorders>
              <w:top w:val="single" w:sz="4" w:space="0" w:color="000000"/>
              <w:left w:val="single" w:sz="8" w:space="0" w:color="000000"/>
              <w:bottom w:val="single" w:sz="4" w:space="0" w:color="000000"/>
              <w:right w:val="nil"/>
            </w:tcBorders>
            <w:shd w:val="clear" w:color="auto" w:fill="auto"/>
            <w:vAlign w:val="bottom"/>
            <w:hideMark/>
          </w:tcPr>
          <w:p w:rsidR="00794D47" w:rsidRPr="00794D47" w:rsidRDefault="00794D47" w:rsidP="00794D47">
            <w:pPr>
              <w:rPr>
                <w:rFonts w:ascii="Arial" w:hAnsi="Arial" w:cs="Arial"/>
                <w:b/>
                <w:bCs/>
                <w:sz w:val="16"/>
                <w:szCs w:val="16"/>
                <w:lang w:val="et-EE" w:eastAsia="et-EE"/>
              </w:rPr>
            </w:pPr>
            <w:r w:rsidRPr="00794D47">
              <w:rPr>
                <w:rFonts w:ascii="Arial" w:hAnsi="Arial" w:cs="Arial"/>
                <w:b/>
                <w:bCs/>
                <w:sz w:val="16"/>
                <w:szCs w:val="16"/>
                <w:lang w:val="et-EE" w:eastAsia="et-EE"/>
              </w:rPr>
              <w:t>Likviidsete varade muutus (+ suurenemine, - vähenemine)</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794D47" w:rsidRPr="001E5437" w:rsidRDefault="00794D47" w:rsidP="00794D47">
            <w:pPr>
              <w:jc w:val="right"/>
              <w:rPr>
                <w:rFonts w:ascii="Arial" w:hAnsi="Arial" w:cs="Arial"/>
                <w:sz w:val="16"/>
                <w:szCs w:val="16"/>
                <w:lang w:val="et-EE" w:eastAsia="et-EE"/>
              </w:rPr>
            </w:pPr>
            <w:r w:rsidRPr="001E5437">
              <w:rPr>
                <w:rFonts w:ascii="Arial" w:hAnsi="Arial" w:cs="Arial"/>
                <w:sz w:val="16"/>
                <w:szCs w:val="16"/>
                <w:lang w:val="et-EE" w:eastAsia="et-EE"/>
              </w:rPr>
              <w:t>-337 885</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794D47" w:rsidRPr="001E5437" w:rsidRDefault="00794D47" w:rsidP="00794D47">
            <w:pPr>
              <w:jc w:val="right"/>
              <w:rPr>
                <w:rFonts w:ascii="Arial" w:hAnsi="Arial" w:cs="Arial"/>
                <w:sz w:val="16"/>
                <w:szCs w:val="16"/>
                <w:lang w:val="et-EE" w:eastAsia="et-EE"/>
              </w:rPr>
            </w:pPr>
            <w:r w:rsidRPr="001E5437">
              <w:rPr>
                <w:rFonts w:ascii="Arial" w:hAnsi="Arial" w:cs="Arial"/>
                <w:sz w:val="16"/>
                <w:szCs w:val="16"/>
                <w:lang w:val="et-EE" w:eastAsia="et-EE"/>
              </w:rPr>
              <w:t>91 781</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794D47" w:rsidRPr="001E5437" w:rsidRDefault="00794D47" w:rsidP="00794D47">
            <w:pPr>
              <w:jc w:val="right"/>
              <w:rPr>
                <w:rFonts w:ascii="Arial" w:hAnsi="Arial" w:cs="Arial"/>
                <w:sz w:val="16"/>
                <w:szCs w:val="16"/>
                <w:lang w:val="et-EE" w:eastAsia="et-EE"/>
              </w:rPr>
            </w:pPr>
            <w:r w:rsidRPr="001E5437">
              <w:rPr>
                <w:rFonts w:ascii="Arial" w:hAnsi="Arial" w:cs="Arial"/>
                <w:sz w:val="16"/>
                <w:szCs w:val="16"/>
                <w:lang w:val="et-EE" w:eastAsia="et-EE"/>
              </w:rPr>
              <w:t>-24 480</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794D47" w:rsidRPr="001E5437" w:rsidRDefault="00794D47" w:rsidP="00794D47">
            <w:pPr>
              <w:jc w:val="right"/>
              <w:rPr>
                <w:rFonts w:ascii="Arial" w:hAnsi="Arial" w:cs="Arial"/>
                <w:sz w:val="16"/>
                <w:szCs w:val="16"/>
                <w:lang w:val="et-EE" w:eastAsia="et-EE"/>
              </w:rPr>
            </w:pPr>
            <w:r w:rsidRPr="001E5437">
              <w:rPr>
                <w:rFonts w:ascii="Arial" w:hAnsi="Arial" w:cs="Arial"/>
                <w:sz w:val="16"/>
                <w:szCs w:val="16"/>
                <w:lang w:val="et-EE" w:eastAsia="et-EE"/>
              </w:rPr>
              <w:t>-54 990</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794D47" w:rsidRPr="001E5437" w:rsidRDefault="00794D47" w:rsidP="00794D47">
            <w:pPr>
              <w:jc w:val="right"/>
              <w:rPr>
                <w:rFonts w:ascii="Arial" w:hAnsi="Arial" w:cs="Arial"/>
                <w:sz w:val="16"/>
                <w:szCs w:val="16"/>
                <w:lang w:val="et-EE" w:eastAsia="et-EE"/>
              </w:rPr>
            </w:pPr>
            <w:r w:rsidRPr="001E5437">
              <w:rPr>
                <w:rFonts w:ascii="Arial" w:hAnsi="Arial" w:cs="Arial"/>
                <w:sz w:val="16"/>
                <w:szCs w:val="16"/>
                <w:lang w:val="et-EE" w:eastAsia="et-EE"/>
              </w:rPr>
              <w:t>47 361</w:t>
            </w:r>
          </w:p>
        </w:tc>
        <w:tc>
          <w:tcPr>
            <w:tcW w:w="993"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794D47" w:rsidRPr="001E5437" w:rsidRDefault="00794D47" w:rsidP="00794D47">
            <w:pPr>
              <w:jc w:val="right"/>
              <w:rPr>
                <w:rFonts w:ascii="Arial" w:hAnsi="Arial" w:cs="Arial"/>
                <w:sz w:val="16"/>
                <w:szCs w:val="16"/>
                <w:lang w:val="et-EE" w:eastAsia="et-EE"/>
              </w:rPr>
            </w:pPr>
            <w:r w:rsidRPr="001E5437">
              <w:rPr>
                <w:rFonts w:ascii="Arial" w:hAnsi="Arial" w:cs="Arial"/>
                <w:sz w:val="16"/>
                <w:szCs w:val="16"/>
                <w:lang w:val="et-EE" w:eastAsia="et-EE"/>
              </w:rPr>
              <w:t>38 427</w:t>
            </w:r>
          </w:p>
        </w:tc>
        <w:tc>
          <w:tcPr>
            <w:tcW w:w="992" w:type="dxa"/>
            <w:tcBorders>
              <w:top w:val="single" w:sz="4" w:space="0" w:color="000000"/>
              <w:left w:val="nil"/>
              <w:bottom w:val="single" w:sz="4" w:space="0" w:color="000000"/>
              <w:right w:val="single" w:sz="8" w:space="0" w:color="000000"/>
            </w:tcBorders>
            <w:shd w:val="clear" w:color="auto" w:fill="FFFFFF" w:themeFill="background1"/>
            <w:noWrap/>
            <w:vAlign w:val="bottom"/>
            <w:hideMark/>
          </w:tcPr>
          <w:p w:rsidR="00794D47" w:rsidRPr="001E5437" w:rsidRDefault="00794D47" w:rsidP="00794D47">
            <w:pPr>
              <w:jc w:val="right"/>
              <w:rPr>
                <w:rFonts w:ascii="Arial" w:hAnsi="Arial" w:cs="Arial"/>
                <w:sz w:val="16"/>
                <w:szCs w:val="16"/>
                <w:lang w:val="et-EE" w:eastAsia="et-EE"/>
              </w:rPr>
            </w:pPr>
            <w:r w:rsidRPr="001E5437">
              <w:rPr>
                <w:rFonts w:ascii="Arial" w:hAnsi="Arial" w:cs="Arial"/>
                <w:sz w:val="16"/>
                <w:szCs w:val="16"/>
                <w:lang w:val="et-EE" w:eastAsia="et-EE"/>
              </w:rPr>
              <w:t>-71 645</w:t>
            </w:r>
          </w:p>
        </w:tc>
      </w:tr>
      <w:tr w:rsidR="00794D47" w:rsidRPr="001E5437" w:rsidTr="001E5437">
        <w:trPr>
          <w:trHeight w:val="675"/>
        </w:trPr>
        <w:tc>
          <w:tcPr>
            <w:tcW w:w="2117" w:type="dxa"/>
            <w:tcBorders>
              <w:top w:val="nil"/>
              <w:left w:val="single" w:sz="8" w:space="0" w:color="000000"/>
              <w:bottom w:val="single" w:sz="4" w:space="0" w:color="000000"/>
              <w:right w:val="nil"/>
            </w:tcBorders>
            <w:shd w:val="clear" w:color="auto" w:fill="auto"/>
            <w:vAlign w:val="bottom"/>
            <w:hideMark/>
          </w:tcPr>
          <w:p w:rsidR="00794D47" w:rsidRPr="00794D47" w:rsidRDefault="00794D47" w:rsidP="00794D47">
            <w:pPr>
              <w:rPr>
                <w:rFonts w:ascii="Arial" w:hAnsi="Arial" w:cs="Arial"/>
                <w:b/>
                <w:bCs/>
                <w:sz w:val="16"/>
                <w:szCs w:val="16"/>
                <w:lang w:val="et-EE" w:eastAsia="et-EE"/>
              </w:rPr>
            </w:pPr>
            <w:r w:rsidRPr="00794D47">
              <w:rPr>
                <w:rFonts w:ascii="Arial" w:hAnsi="Arial" w:cs="Arial"/>
                <w:b/>
                <w:bCs/>
                <w:sz w:val="16"/>
                <w:szCs w:val="16"/>
                <w:lang w:val="et-EE" w:eastAsia="et-EE"/>
              </w:rPr>
              <w:t>Nõuete ja kohustuste saldode muutus (tekkepõhise e/a korral) (+ suurenemine /- vähenemine)</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794D47" w:rsidRPr="001E5437" w:rsidRDefault="00794D47" w:rsidP="00794D47">
            <w:pPr>
              <w:jc w:val="right"/>
              <w:rPr>
                <w:rFonts w:ascii="Arial" w:hAnsi="Arial" w:cs="Arial"/>
                <w:sz w:val="16"/>
                <w:szCs w:val="16"/>
                <w:lang w:val="et-EE" w:eastAsia="et-EE"/>
              </w:rPr>
            </w:pPr>
            <w:r w:rsidRPr="001E5437">
              <w:rPr>
                <w:rFonts w:ascii="Arial" w:hAnsi="Arial" w:cs="Arial"/>
                <w:sz w:val="16"/>
                <w:szCs w:val="16"/>
                <w:lang w:val="et-EE" w:eastAsia="et-EE"/>
              </w:rPr>
              <w:t>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94D47" w:rsidRPr="001E5437" w:rsidRDefault="00794D47" w:rsidP="00794D47">
            <w:pPr>
              <w:jc w:val="right"/>
              <w:rPr>
                <w:rFonts w:ascii="Arial" w:hAnsi="Arial" w:cs="Arial"/>
                <w:sz w:val="16"/>
                <w:szCs w:val="16"/>
                <w:lang w:val="et-EE" w:eastAsia="et-EE"/>
              </w:rPr>
            </w:pPr>
            <w:r w:rsidRPr="001E5437">
              <w:rPr>
                <w:rFonts w:ascii="Arial" w:hAnsi="Arial" w:cs="Arial"/>
                <w:sz w:val="16"/>
                <w:szCs w:val="16"/>
                <w:lang w:val="et-EE" w:eastAsia="et-EE"/>
              </w:rPr>
              <w:t>0</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94D47" w:rsidRPr="001E5437" w:rsidRDefault="00794D47" w:rsidP="00794D47">
            <w:pPr>
              <w:rPr>
                <w:rFonts w:ascii="Arial" w:hAnsi="Arial" w:cs="Arial"/>
                <w:sz w:val="16"/>
                <w:szCs w:val="16"/>
                <w:lang w:val="et-EE" w:eastAsia="et-EE"/>
              </w:rPr>
            </w:pPr>
            <w:r w:rsidRPr="001E5437">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94D47" w:rsidRPr="001E5437" w:rsidRDefault="00794D47" w:rsidP="00794D47">
            <w:pPr>
              <w:rPr>
                <w:rFonts w:ascii="Arial" w:hAnsi="Arial" w:cs="Arial"/>
                <w:sz w:val="16"/>
                <w:szCs w:val="16"/>
                <w:lang w:val="et-EE" w:eastAsia="et-EE"/>
              </w:rPr>
            </w:pPr>
            <w:r w:rsidRPr="001E5437">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94D47" w:rsidRPr="001E5437" w:rsidRDefault="00794D47" w:rsidP="00794D47">
            <w:pPr>
              <w:rPr>
                <w:rFonts w:ascii="Arial" w:hAnsi="Arial" w:cs="Arial"/>
                <w:sz w:val="16"/>
                <w:szCs w:val="16"/>
                <w:lang w:val="et-EE" w:eastAsia="et-EE"/>
              </w:rPr>
            </w:pPr>
            <w:r w:rsidRPr="001E5437">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794D47" w:rsidRPr="001E5437" w:rsidRDefault="00794D47" w:rsidP="00794D47">
            <w:pPr>
              <w:rPr>
                <w:rFonts w:ascii="Arial" w:hAnsi="Arial" w:cs="Arial"/>
                <w:sz w:val="16"/>
                <w:szCs w:val="16"/>
                <w:lang w:val="et-EE" w:eastAsia="et-EE"/>
              </w:rPr>
            </w:pPr>
            <w:r w:rsidRPr="001E5437">
              <w:rPr>
                <w:rFonts w:ascii="Arial" w:hAnsi="Arial" w:cs="Arial"/>
                <w:sz w:val="16"/>
                <w:szCs w:val="16"/>
                <w:lang w:val="et-EE" w:eastAsia="et-EE"/>
              </w:rPr>
              <w:t> </w:t>
            </w:r>
          </w:p>
        </w:tc>
        <w:tc>
          <w:tcPr>
            <w:tcW w:w="992" w:type="dxa"/>
            <w:tcBorders>
              <w:top w:val="nil"/>
              <w:left w:val="nil"/>
              <w:bottom w:val="single" w:sz="4" w:space="0" w:color="000000"/>
              <w:right w:val="single" w:sz="8" w:space="0" w:color="000000"/>
            </w:tcBorders>
            <w:shd w:val="clear" w:color="auto" w:fill="FFFFFF" w:themeFill="background1"/>
            <w:noWrap/>
            <w:vAlign w:val="bottom"/>
            <w:hideMark/>
          </w:tcPr>
          <w:p w:rsidR="00794D47" w:rsidRPr="001E5437" w:rsidRDefault="00794D47" w:rsidP="00794D47">
            <w:pPr>
              <w:rPr>
                <w:rFonts w:ascii="Arial" w:hAnsi="Arial" w:cs="Arial"/>
                <w:sz w:val="16"/>
                <w:szCs w:val="16"/>
                <w:lang w:val="et-EE" w:eastAsia="et-EE"/>
              </w:rPr>
            </w:pPr>
            <w:r w:rsidRPr="001E5437">
              <w:rPr>
                <w:rFonts w:ascii="Arial" w:hAnsi="Arial" w:cs="Arial"/>
                <w:sz w:val="16"/>
                <w:szCs w:val="16"/>
                <w:lang w:val="et-EE" w:eastAsia="et-EE"/>
              </w:rPr>
              <w:t> </w:t>
            </w:r>
          </w:p>
        </w:tc>
      </w:tr>
      <w:tr w:rsidR="00794D47" w:rsidRPr="001E5437" w:rsidTr="001E5437">
        <w:trPr>
          <w:trHeight w:val="225"/>
        </w:trPr>
        <w:tc>
          <w:tcPr>
            <w:tcW w:w="2117" w:type="dxa"/>
            <w:tcBorders>
              <w:top w:val="nil"/>
              <w:left w:val="single" w:sz="8" w:space="0" w:color="000000"/>
              <w:bottom w:val="nil"/>
              <w:right w:val="nil"/>
            </w:tcBorders>
            <w:shd w:val="clear" w:color="auto" w:fill="auto"/>
            <w:noWrap/>
            <w:vAlign w:val="bottom"/>
            <w:hideMark/>
          </w:tcPr>
          <w:p w:rsidR="00794D47" w:rsidRPr="00794D47" w:rsidRDefault="00794D47" w:rsidP="00794D47">
            <w:pPr>
              <w:rPr>
                <w:rFonts w:ascii="Arial" w:hAnsi="Arial" w:cs="Arial"/>
                <w:sz w:val="16"/>
                <w:szCs w:val="16"/>
                <w:lang w:val="et-EE" w:eastAsia="et-EE"/>
              </w:rPr>
            </w:pPr>
            <w:r w:rsidRPr="00794D47">
              <w:rPr>
                <w:rFonts w:ascii="Arial" w:hAnsi="Arial" w:cs="Arial"/>
                <w:sz w:val="16"/>
                <w:szCs w:val="16"/>
                <w:lang w:val="et-EE" w:eastAsia="et-EE"/>
              </w:rPr>
              <w:t> </w:t>
            </w:r>
          </w:p>
        </w:tc>
        <w:tc>
          <w:tcPr>
            <w:tcW w:w="1134"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794D47" w:rsidRPr="001E5437" w:rsidRDefault="00794D47" w:rsidP="00794D47">
            <w:pPr>
              <w:rPr>
                <w:rFonts w:ascii="Arial" w:hAnsi="Arial" w:cs="Arial"/>
                <w:sz w:val="16"/>
                <w:szCs w:val="16"/>
                <w:lang w:val="et-EE" w:eastAsia="et-EE"/>
              </w:rPr>
            </w:pPr>
            <w:r w:rsidRPr="001E5437">
              <w:rPr>
                <w:rFonts w:ascii="Arial" w:hAnsi="Arial" w:cs="Arial"/>
                <w:sz w:val="16"/>
                <w:szCs w:val="16"/>
                <w:lang w:val="et-EE" w:eastAsia="et-EE"/>
              </w:rPr>
              <w:t> </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794D47" w:rsidRPr="001E5437" w:rsidRDefault="00794D47" w:rsidP="00794D47">
            <w:pPr>
              <w:rPr>
                <w:rFonts w:ascii="Arial" w:hAnsi="Arial" w:cs="Arial"/>
                <w:sz w:val="16"/>
                <w:szCs w:val="16"/>
                <w:lang w:val="et-EE" w:eastAsia="et-EE"/>
              </w:rPr>
            </w:pPr>
            <w:r w:rsidRPr="001E5437">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94D47" w:rsidRPr="001E5437" w:rsidRDefault="00794D47" w:rsidP="00794D47">
            <w:pPr>
              <w:rPr>
                <w:rFonts w:ascii="Arial" w:hAnsi="Arial" w:cs="Arial"/>
                <w:sz w:val="16"/>
                <w:szCs w:val="16"/>
                <w:lang w:val="et-EE" w:eastAsia="et-EE"/>
              </w:rPr>
            </w:pPr>
            <w:r w:rsidRPr="001E5437">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94D47" w:rsidRPr="001E5437" w:rsidRDefault="00794D47" w:rsidP="00794D47">
            <w:pPr>
              <w:rPr>
                <w:rFonts w:ascii="Arial" w:hAnsi="Arial" w:cs="Arial"/>
                <w:sz w:val="16"/>
                <w:szCs w:val="16"/>
                <w:lang w:val="et-EE" w:eastAsia="et-EE"/>
              </w:rPr>
            </w:pPr>
            <w:r w:rsidRPr="001E5437">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94D47" w:rsidRPr="001E5437" w:rsidRDefault="00794D47" w:rsidP="00794D47">
            <w:pPr>
              <w:rPr>
                <w:rFonts w:ascii="Arial" w:hAnsi="Arial" w:cs="Arial"/>
                <w:sz w:val="16"/>
                <w:szCs w:val="16"/>
                <w:lang w:val="et-EE" w:eastAsia="et-EE"/>
              </w:rPr>
            </w:pPr>
            <w:r w:rsidRPr="001E5437">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794D47" w:rsidRPr="001E5437" w:rsidRDefault="00794D47" w:rsidP="00794D47">
            <w:pPr>
              <w:rPr>
                <w:rFonts w:ascii="Arial" w:hAnsi="Arial" w:cs="Arial"/>
                <w:sz w:val="16"/>
                <w:szCs w:val="16"/>
                <w:lang w:val="et-EE" w:eastAsia="et-EE"/>
              </w:rPr>
            </w:pPr>
            <w:r w:rsidRPr="001E5437">
              <w:rPr>
                <w:rFonts w:ascii="Arial" w:hAnsi="Arial" w:cs="Arial"/>
                <w:sz w:val="16"/>
                <w:szCs w:val="16"/>
                <w:lang w:val="et-EE" w:eastAsia="et-EE"/>
              </w:rPr>
              <w:t> </w:t>
            </w:r>
          </w:p>
        </w:tc>
        <w:tc>
          <w:tcPr>
            <w:tcW w:w="992" w:type="dxa"/>
            <w:tcBorders>
              <w:top w:val="nil"/>
              <w:left w:val="nil"/>
              <w:bottom w:val="single" w:sz="4" w:space="0" w:color="000000"/>
              <w:right w:val="single" w:sz="8" w:space="0" w:color="000000"/>
            </w:tcBorders>
            <w:shd w:val="clear" w:color="auto" w:fill="FFFFFF" w:themeFill="background1"/>
            <w:noWrap/>
            <w:vAlign w:val="bottom"/>
            <w:hideMark/>
          </w:tcPr>
          <w:p w:rsidR="00794D47" w:rsidRPr="001E5437" w:rsidRDefault="00794D47" w:rsidP="00794D47">
            <w:pPr>
              <w:rPr>
                <w:rFonts w:ascii="Arial" w:hAnsi="Arial" w:cs="Arial"/>
                <w:sz w:val="16"/>
                <w:szCs w:val="16"/>
                <w:lang w:val="et-EE" w:eastAsia="et-EE"/>
              </w:rPr>
            </w:pPr>
            <w:r w:rsidRPr="001E5437">
              <w:rPr>
                <w:rFonts w:ascii="Arial" w:hAnsi="Arial" w:cs="Arial"/>
                <w:sz w:val="16"/>
                <w:szCs w:val="16"/>
                <w:lang w:val="et-EE" w:eastAsia="et-EE"/>
              </w:rPr>
              <w:t> </w:t>
            </w:r>
          </w:p>
        </w:tc>
      </w:tr>
      <w:tr w:rsidR="00794D47" w:rsidRPr="001E5437" w:rsidTr="001E5437">
        <w:trPr>
          <w:trHeight w:val="270"/>
        </w:trPr>
        <w:tc>
          <w:tcPr>
            <w:tcW w:w="2117" w:type="dxa"/>
            <w:tcBorders>
              <w:top w:val="single" w:sz="4" w:space="0" w:color="000000"/>
              <w:left w:val="single" w:sz="8" w:space="0" w:color="000000"/>
              <w:bottom w:val="single" w:sz="4" w:space="0" w:color="000000"/>
              <w:right w:val="nil"/>
            </w:tcBorders>
            <w:shd w:val="clear" w:color="auto" w:fill="auto"/>
            <w:noWrap/>
            <w:vAlign w:val="bottom"/>
            <w:hideMark/>
          </w:tcPr>
          <w:p w:rsidR="00794D47" w:rsidRPr="00794D47" w:rsidRDefault="00794D47" w:rsidP="00794D47">
            <w:pPr>
              <w:rPr>
                <w:rFonts w:ascii="Arial" w:hAnsi="Arial" w:cs="Arial"/>
                <w:b/>
                <w:bCs/>
                <w:sz w:val="16"/>
                <w:szCs w:val="16"/>
                <w:lang w:val="et-EE" w:eastAsia="et-EE"/>
              </w:rPr>
            </w:pPr>
            <w:r w:rsidRPr="00794D47">
              <w:rPr>
                <w:rFonts w:ascii="Arial" w:hAnsi="Arial" w:cs="Arial"/>
                <w:b/>
                <w:bCs/>
                <w:sz w:val="16"/>
                <w:szCs w:val="16"/>
                <w:lang w:val="et-EE" w:eastAsia="et-EE"/>
              </w:rPr>
              <w:t>Likviidsete varade suunamata jääk aasta lõpuks</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794D47" w:rsidRPr="001E5437" w:rsidRDefault="00794D47" w:rsidP="00794D47">
            <w:pPr>
              <w:jc w:val="right"/>
              <w:rPr>
                <w:rFonts w:ascii="Arial" w:hAnsi="Arial" w:cs="Arial"/>
                <w:b/>
                <w:bCs/>
                <w:sz w:val="16"/>
                <w:szCs w:val="16"/>
                <w:lang w:val="et-EE" w:eastAsia="et-EE"/>
              </w:rPr>
            </w:pPr>
            <w:r w:rsidRPr="001E5437">
              <w:rPr>
                <w:rFonts w:ascii="Arial" w:hAnsi="Arial" w:cs="Arial"/>
                <w:b/>
                <w:bCs/>
                <w:sz w:val="16"/>
                <w:szCs w:val="16"/>
                <w:lang w:val="et-EE" w:eastAsia="et-EE"/>
              </w:rPr>
              <w:t>328 254</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794D47" w:rsidRPr="001E5437" w:rsidRDefault="00794D47" w:rsidP="00794D47">
            <w:pPr>
              <w:jc w:val="right"/>
              <w:rPr>
                <w:rFonts w:ascii="Arial" w:hAnsi="Arial" w:cs="Arial"/>
                <w:b/>
                <w:bCs/>
                <w:sz w:val="16"/>
                <w:szCs w:val="16"/>
                <w:lang w:val="et-EE" w:eastAsia="et-EE"/>
              </w:rPr>
            </w:pPr>
            <w:r w:rsidRPr="001E5437">
              <w:rPr>
                <w:rFonts w:ascii="Arial" w:hAnsi="Arial" w:cs="Arial"/>
                <w:b/>
                <w:bCs/>
                <w:sz w:val="16"/>
                <w:szCs w:val="16"/>
                <w:lang w:val="et-EE" w:eastAsia="et-EE"/>
              </w:rPr>
              <w:t>420 035</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94D47" w:rsidRPr="001E5437" w:rsidRDefault="00794D47" w:rsidP="00794D47">
            <w:pPr>
              <w:jc w:val="right"/>
              <w:rPr>
                <w:rFonts w:ascii="Arial" w:hAnsi="Arial" w:cs="Arial"/>
                <w:b/>
                <w:bCs/>
                <w:sz w:val="16"/>
                <w:szCs w:val="16"/>
                <w:lang w:val="et-EE" w:eastAsia="et-EE"/>
              </w:rPr>
            </w:pPr>
            <w:r w:rsidRPr="001E5437">
              <w:rPr>
                <w:rFonts w:ascii="Arial" w:hAnsi="Arial" w:cs="Arial"/>
                <w:b/>
                <w:bCs/>
                <w:sz w:val="16"/>
                <w:szCs w:val="16"/>
                <w:lang w:val="et-EE" w:eastAsia="et-EE"/>
              </w:rPr>
              <w:t>395 555</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94D47" w:rsidRPr="001E5437" w:rsidRDefault="00794D47" w:rsidP="00794D47">
            <w:pPr>
              <w:jc w:val="right"/>
              <w:rPr>
                <w:rFonts w:ascii="Arial" w:hAnsi="Arial" w:cs="Arial"/>
                <w:b/>
                <w:bCs/>
                <w:sz w:val="16"/>
                <w:szCs w:val="16"/>
                <w:lang w:val="et-EE" w:eastAsia="et-EE"/>
              </w:rPr>
            </w:pPr>
            <w:r w:rsidRPr="001E5437">
              <w:rPr>
                <w:rFonts w:ascii="Arial" w:hAnsi="Arial" w:cs="Arial"/>
                <w:b/>
                <w:bCs/>
                <w:sz w:val="16"/>
                <w:szCs w:val="16"/>
                <w:lang w:val="et-EE" w:eastAsia="et-EE"/>
              </w:rPr>
              <w:t>340 565</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94D47" w:rsidRPr="001E5437" w:rsidRDefault="00794D47" w:rsidP="00794D47">
            <w:pPr>
              <w:jc w:val="right"/>
              <w:rPr>
                <w:rFonts w:ascii="Arial" w:hAnsi="Arial" w:cs="Arial"/>
                <w:b/>
                <w:bCs/>
                <w:sz w:val="16"/>
                <w:szCs w:val="16"/>
                <w:lang w:val="et-EE" w:eastAsia="et-EE"/>
              </w:rPr>
            </w:pPr>
            <w:r w:rsidRPr="001E5437">
              <w:rPr>
                <w:rFonts w:ascii="Arial" w:hAnsi="Arial" w:cs="Arial"/>
                <w:b/>
                <w:bCs/>
                <w:sz w:val="16"/>
                <w:szCs w:val="16"/>
                <w:lang w:val="et-EE" w:eastAsia="et-EE"/>
              </w:rPr>
              <w:t>387 926</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794D47" w:rsidRPr="001E5437" w:rsidRDefault="00794D47" w:rsidP="00794D47">
            <w:pPr>
              <w:jc w:val="right"/>
              <w:rPr>
                <w:rFonts w:ascii="Arial" w:hAnsi="Arial" w:cs="Arial"/>
                <w:b/>
                <w:bCs/>
                <w:sz w:val="16"/>
                <w:szCs w:val="16"/>
                <w:lang w:val="et-EE" w:eastAsia="et-EE"/>
              </w:rPr>
            </w:pPr>
            <w:r w:rsidRPr="001E5437">
              <w:rPr>
                <w:rFonts w:ascii="Arial" w:hAnsi="Arial" w:cs="Arial"/>
                <w:b/>
                <w:bCs/>
                <w:sz w:val="16"/>
                <w:szCs w:val="16"/>
                <w:lang w:val="et-EE" w:eastAsia="et-EE"/>
              </w:rPr>
              <w:t>426 353</w:t>
            </w:r>
          </w:p>
        </w:tc>
        <w:tc>
          <w:tcPr>
            <w:tcW w:w="992" w:type="dxa"/>
            <w:tcBorders>
              <w:top w:val="nil"/>
              <w:left w:val="nil"/>
              <w:bottom w:val="single" w:sz="4" w:space="0" w:color="000000"/>
              <w:right w:val="single" w:sz="8" w:space="0" w:color="000000"/>
            </w:tcBorders>
            <w:shd w:val="clear" w:color="auto" w:fill="FFFFFF" w:themeFill="background1"/>
            <w:noWrap/>
            <w:vAlign w:val="bottom"/>
            <w:hideMark/>
          </w:tcPr>
          <w:p w:rsidR="00794D47" w:rsidRPr="001E5437" w:rsidRDefault="00794D47" w:rsidP="00794D47">
            <w:pPr>
              <w:jc w:val="right"/>
              <w:rPr>
                <w:rFonts w:ascii="Arial" w:hAnsi="Arial" w:cs="Arial"/>
                <w:b/>
                <w:bCs/>
                <w:sz w:val="16"/>
                <w:szCs w:val="16"/>
                <w:lang w:val="et-EE" w:eastAsia="et-EE"/>
              </w:rPr>
            </w:pPr>
            <w:r w:rsidRPr="001E5437">
              <w:rPr>
                <w:rFonts w:ascii="Arial" w:hAnsi="Arial" w:cs="Arial"/>
                <w:b/>
                <w:bCs/>
                <w:sz w:val="16"/>
                <w:szCs w:val="16"/>
                <w:lang w:val="et-EE" w:eastAsia="et-EE"/>
              </w:rPr>
              <w:t>354 708</w:t>
            </w:r>
          </w:p>
        </w:tc>
      </w:tr>
    </w:tbl>
    <w:p w:rsidR="009143F4" w:rsidRDefault="009143F4" w:rsidP="009143F4">
      <w:pPr>
        <w:rPr>
          <w:b/>
          <w:sz w:val="20"/>
          <w:szCs w:val="20"/>
          <w:lang w:val="et-EE"/>
        </w:rPr>
      </w:pPr>
    </w:p>
    <w:p w:rsidR="009143F4" w:rsidRPr="00BA1430" w:rsidRDefault="009143F4" w:rsidP="009143F4">
      <w:pPr>
        <w:rPr>
          <w:b/>
          <w:sz w:val="20"/>
          <w:szCs w:val="20"/>
          <w:lang w:val="et-EE"/>
        </w:rPr>
      </w:pPr>
      <w:r w:rsidRPr="00BA1430">
        <w:rPr>
          <w:b/>
          <w:sz w:val="20"/>
          <w:szCs w:val="20"/>
          <w:lang w:val="et-EE"/>
        </w:rPr>
        <w:t>Tabel 11. Viru-Nigula valla likviidsete varade muutus.</w:t>
      </w:r>
    </w:p>
    <w:p w:rsidR="00AA1C18" w:rsidRDefault="00AA1C18" w:rsidP="00924C20">
      <w:pPr>
        <w:rPr>
          <w:rFonts w:ascii="Trebuchet MS" w:hAnsi="Trebuchet MS"/>
          <w:lang w:val="et-EE"/>
        </w:rPr>
      </w:pPr>
    </w:p>
    <w:p w:rsidR="00180BC3" w:rsidRPr="00BA1430" w:rsidRDefault="00924C20" w:rsidP="00BA1430">
      <w:pPr>
        <w:spacing w:line="276" w:lineRule="auto"/>
        <w:rPr>
          <w:lang w:val="et-EE"/>
        </w:rPr>
      </w:pPr>
      <w:r w:rsidRPr="00BA1430">
        <w:rPr>
          <w:lang w:val="et-EE"/>
        </w:rPr>
        <w:lastRenderedPageBreak/>
        <w:t>Eesmärgid li</w:t>
      </w:r>
      <w:r w:rsidR="002E290D">
        <w:rPr>
          <w:lang w:val="et-EE"/>
        </w:rPr>
        <w:t>kviidsete varade planeerimisel:</w:t>
      </w:r>
    </w:p>
    <w:p w:rsidR="00924C20" w:rsidRPr="00BA1430" w:rsidRDefault="002E290D" w:rsidP="00BA1430">
      <w:pPr>
        <w:pStyle w:val="Loendilik"/>
        <w:numPr>
          <w:ilvl w:val="0"/>
          <w:numId w:val="2"/>
        </w:numPr>
        <w:rPr>
          <w:szCs w:val="24"/>
        </w:rPr>
      </w:pPr>
      <w:r>
        <w:rPr>
          <w:szCs w:val="24"/>
        </w:rPr>
        <w:t>t</w:t>
      </w:r>
      <w:r w:rsidR="00924C20" w:rsidRPr="00BA1430">
        <w:rPr>
          <w:szCs w:val="24"/>
        </w:rPr>
        <w:t>agada pidevalt</w:t>
      </w:r>
      <w:r w:rsidR="00180BC3" w:rsidRPr="00BA1430">
        <w:rPr>
          <w:szCs w:val="24"/>
        </w:rPr>
        <w:t>, sh</w:t>
      </w:r>
      <w:r w:rsidR="00924C20" w:rsidRPr="00BA1430">
        <w:rPr>
          <w:szCs w:val="24"/>
        </w:rPr>
        <w:t xml:space="preserve"> ka jooksva</w:t>
      </w:r>
      <w:r w:rsidR="00180BC3" w:rsidRPr="00BA1430">
        <w:rPr>
          <w:szCs w:val="24"/>
        </w:rPr>
        <w:t>l</w:t>
      </w:r>
      <w:r w:rsidR="00924C20" w:rsidRPr="00BA1430">
        <w:rPr>
          <w:szCs w:val="24"/>
        </w:rPr>
        <w:t xml:space="preserve"> kuupäeval</w:t>
      </w:r>
      <w:r w:rsidR="00180BC3" w:rsidRPr="00BA1430">
        <w:rPr>
          <w:szCs w:val="24"/>
        </w:rPr>
        <w:t>,</w:t>
      </w:r>
      <w:r w:rsidR="00924C20" w:rsidRPr="00BA1430">
        <w:rPr>
          <w:szCs w:val="24"/>
        </w:rPr>
        <w:t xml:space="preserve"> valla arvetel likviidsus;</w:t>
      </w:r>
    </w:p>
    <w:p w:rsidR="00924C20" w:rsidRPr="00BA1430" w:rsidRDefault="002E290D" w:rsidP="00BA1430">
      <w:pPr>
        <w:pStyle w:val="Loendilik"/>
        <w:numPr>
          <w:ilvl w:val="0"/>
          <w:numId w:val="2"/>
        </w:numPr>
        <w:rPr>
          <w:szCs w:val="24"/>
        </w:rPr>
      </w:pPr>
      <w:r>
        <w:rPr>
          <w:szCs w:val="24"/>
        </w:rPr>
        <w:t>j</w:t>
      </w:r>
      <w:r w:rsidR="00924C20" w:rsidRPr="00BA1430">
        <w:rPr>
          <w:szCs w:val="24"/>
        </w:rPr>
        <w:t>uhul, kui aastalõpu jäägis on likviidseid (vabu) vahendeid rohkem kui kavandatud, siis tohib neid kasutada ainult:</w:t>
      </w:r>
    </w:p>
    <w:p w:rsidR="00924C20" w:rsidRPr="00BA1430" w:rsidRDefault="00A63708" w:rsidP="00BA1430">
      <w:pPr>
        <w:pStyle w:val="Loendilik"/>
        <w:numPr>
          <w:ilvl w:val="0"/>
          <w:numId w:val="4"/>
        </w:numPr>
        <w:rPr>
          <w:szCs w:val="24"/>
        </w:rPr>
      </w:pPr>
      <w:r w:rsidRPr="00BA1430">
        <w:rPr>
          <w:szCs w:val="24"/>
        </w:rPr>
        <w:t>k</w:t>
      </w:r>
      <w:r w:rsidR="00924C20" w:rsidRPr="00BA1430">
        <w:rPr>
          <w:szCs w:val="24"/>
        </w:rPr>
        <w:t>oh</w:t>
      </w:r>
      <w:r w:rsidR="00843C64" w:rsidRPr="00BA1430">
        <w:rPr>
          <w:szCs w:val="24"/>
        </w:rPr>
        <w:t>ustuste kiiremaks tagasimakseks</w:t>
      </w:r>
      <w:r w:rsidR="00924C20" w:rsidRPr="00BA1430">
        <w:rPr>
          <w:szCs w:val="24"/>
        </w:rPr>
        <w:t xml:space="preserve"> või</w:t>
      </w:r>
    </w:p>
    <w:p w:rsidR="00924C20" w:rsidRPr="00BA1430" w:rsidRDefault="00A63708" w:rsidP="00BA1430">
      <w:pPr>
        <w:pStyle w:val="Loendilik"/>
        <w:numPr>
          <w:ilvl w:val="0"/>
          <w:numId w:val="4"/>
        </w:numPr>
        <w:rPr>
          <w:szCs w:val="24"/>
        </w:rPr>
      </w:pPr>
      <w:r w:rsidRPr="00BA1430">
        <w:rPr>
          <w:szCs w:val="24"/>
        </w:rPr>
        <w:t>a</w:t>
      </w:r>
      <w:r w:rsidR="00924C20" w:rsidRPr="00BA1430">
        <w:rPr>
          <w:szCs w:val="24"/>
        </w:rPr>
        <w:t>rengukavas kavandatud investeeringute teostamiseks.</w:t>
      </w:r>
    </w:p>
    <w:p w:rsidR="00924C20" w:rsidRPr="00AA1C18" w:rsidRDefault="00924C20" w:rsidP="00393E71">
      <w:pPr>
        <w:spacing w:line="276" w:lineRule="auto"/>
        <w:jc w:val="both"/>
        <w:rPr>
          <w:rFonts w:ascii="Verdana" w:hAnsi="Verdana"/>
          <w:sz w:val="22"/>
          <w:szCs w:val="22"/>
          <w:lang w:val="et-EE"/>
        </w:rPr>
      </w:pPr>
      <w:r w:rsidRPr="00BA1430">
        <w:rPr>
          <w:lang w:val="et-EE"/>
        </w:rPr>
        <w:t>Kohalike maks</w:t>
      </w:r>
      <w:r w:rsidR="008513EC" w:rsidRPr="00BA1430">
        <w:rPr>
          <w:lang w:val="et-EE"/>
        </w:rPr>
        <w:t>ude rakendamist</w:t>
      </w:r>
      <w:r w:rsidRPr="00BA1430">
        <w:rPr>
          <w:lang w:val="et-EE"/>
        </w:rPr>
        <w:t xml:space="preserve"> eelarvestrateegia perioodil</w:t>
      </w:r>
      <w:r w:rsidR="008513EC" w:rsidRPr="00BA1430">
        <w:rPr>
          <w:lang w:val="et-EE"/>
        </w:rPr>
        <w:t xml:space="preserve"> ei kavandata</w:t>
      </w:r>
      <w:r w:rsidRPr="00BA1430">
        <w:rPr>
          <w:lang w:val="et-EE"/>
        </w:rPr>
        <w:t>. Kohalike maksude tulusus on suhteliselt tagasihoidlik ja mõnede maksude rakendamine on omakorda suure kulukusega ehk mad</w:t>
      </w:r>
      <w:r w:rsidR="00895970" w:rsidRPr="00BA1430">
        <w:rPr>
          <w:lang w:val="et-EE"/>
        </w:rPr>
        <w:t>ala rentaablusega. Seaduste</w:t>
      </w:r>
      <w:r w:rsidRPr="00BA1430">
        <w:rPr>
          <w:lang w:val="et-EE"/>
        </w:rPr>
        <w:t xml:space="preserve"> muutumisel võib situatsioon muutuda.</w:t>
      </w:r>
    </w:p>
    <w:p w:rsidR="008513EC" w:rsidRDefault="008513EC" w:rsidP="00924C20">
      <w:pPr>
        <w:jc w:val="both"/>
        <w:rPr>
          <w:rFonts w:ascii="Trebuchet MS" w:hAnsi="Trebuchet MS"/>
          <w:lang w:val="et-EE"/>
        </w:rPr>
      </w:pPr>
    </w:p>
    <w:p w:rsidR="001D21E3" w:rsidRPr="006B14A4" w:rsidRDefault="001D21E3" w:rsidP="00924C20">
      <w:pPr>
        <w:jc w:val="both"/>
        <w:rPr>
          <w:rFonts w:ascii="Trebuchet MS" w:hAnsi="Trebuchet MS"/>
          <w:lang w:val="et-EE"/>
        </w:rPr>
      </w:pPr>
    </w:p>
    <w:p w:rsidR="004412A4" w:rsidRPr="00D0258C" w:rsidRDefault="004412A4" w:rsidP="008C75F9">
      <w:pPr>
        <w:pStyle w:val="Pealkiri1"/>
        <w:jc w:val="left"/>
        <w:rPr>
          <w:color w:val="auto"/>
          <w:sz w:val="28"/>
        </w:rPr>
      </w:pPr>
      <w:bookmarkStart w:id="17" w:name="_Toc521395303"/>
      <w:r w:rsidRPr="00BA1430">
        <w:rPr>
          <w:color w:val="auto"/>
          <w:sz w:val="28"/>
        </w:rPr>
        <w:t>4</w:t>
      </w:r>
      <w:r w:rsidRPr="00D0258C">
        <w:rPr>
          <w:color w:val="auto"/>
          <w:sz w:val="28"/>
        </w:rPr>
        <w:t>. Informatsioon kohalike maksude ja maamaksu muudatustest</w:t>
      </w:r>
      <w:bookmarkEnd w:id="17"/>
    </w:p>
    <w:p w:rsidR="00D53F31" w:rsidRPr="00D0258C" w:rsidRDefault="00D53F31" w:rsidP="008513EC">
      <w:pPr>
        <w:rPr>
          <w:rFonts w:ascii="Trebuchet MS" w:hAnsi="Trebuchet MS"/>
          <w:b/>
          <w:sz w:val="28"/>
          <w:szCs w:val="28"/>
          <w:lang w:val="et-EE"/>
        </w:rPr>
      </w:pPr>
    </w:p>
    <w:p w:rsidR="00A97DB4" w:rsidRPr="00BA1430" w:rsidRDefault="00A97DB4" w:rsidP="00A00FB6">
      <w:pPr>
        <w:autoSpaceDE w:val="0"/>
        <w:autoSpaceDN w:val="0"/>
        <w:adjustRightInd w:val="0"/>
        <w:spacing w:line="276" w:lineRule="auto"/>
        <w:jc w:val="both"/>
        <w:rPr>
          <w:rFonts w:eastAsiaTheme="minorHAnsi"/>
          <w:lang w:val="et-EE"/>
        </w:rPr>
      </w:pPr>
      <w:r w:rsidRPr="00D0258C">
        <w:rPr>
          <w:rFonts w:eastAsiaTheme="minorHAnsi"/>
          <w:lang w:val="et-EE"/>
        </w:rPr>
        <w:t>Maks on seadusega või seaduse alusel valla- või linnavoliko</w:t>
      </w:r>
      <w:r w:rsidR="00A63708" w:rsidRPr="00D0258C">
        <w:rPr>
          <w:rFonts w:eastAsiaTheme="minorHAnsi"/>
          <w:lang w:val="et-EE"/>
        </w:rPr>
        <w:t xml:space="preserve">gu määrusega riigi või kohaliku </w:t>
      </w:r>
      <w:r w:rsidRPr="00D0258C">
        <w:rPr>
          <w:rFonts w:eastAsiaTheme="minorHAnsi"/>
          <w:lang w:val="et-EE"/>
        </w:rPr>
        <w:t>omavalitsuse</w:t>
      </w:r>
      <w:r w:rsidRPr="00BA1430">
        <w:rPr>
          <w:rFonts w:eastAsiaTheme="minorHAnsi"/>
          <w:lang w:val="et-EE"/>
        </w:rPr>
        <w:t xml:space="preserve"> avalik-õiguslike ülesannete täitmiseks või </w:t>
      </w:r>
      <w:r w:rsidR="00A63708" w:rsidRPr="00BA1430">
        <w:rPr>
          <w:rFonts w:eastAsiaTheme="minorHAnsi"/>
          <w:lang w:val="et-EE"/>
        </w:rPr>
        <w:t xml:space="preserve">selleks vajaliku tulu saamiseks </w:t>
      </w:r>
      <w:r w:rsidRPr="00BA1430">
        <w:rPr>
          <w:rFonts w:eastAsiaTheme="minorHAnsi"/>
          <w:lang w:val="et-EE"/>
        </w:rPr>
        <w:t>maksumaksjale pandud ühekordne või perioodiline rahaline kohustis, mis kuulub täitmisel</w:t>
      </w:r>
      <w:r w:rsidR="00A63708" w:rsidRPr="00BA1430">
        <w:rPr>
          <w:rFonts w:eastAsiaTheme="minorHAnsi"/>
          <w:lang w:val="et-EE"/>
        </w:rPr>
        <w:t xml:space="preserve">e </w:t>
      </w:r>
      <w:r w:rsidRPr="00BA1430">
        <w:rPr>
          <w:rFonts w:eastAsiaTheme="minorHAnsi"/>
          <w:lang w:val="et-EE"/>
        </w:rPr>
        <w:t>seaduse või määrusega ettenähtud korras, suuruses ja tähtae</w:t>
      </w:r>
      <w:r w:rsidR="00A63708" w:rsidRPr="00BA1430">
        <w:rPr>
          <w:rFonts w:eastAsiaTheme="minorHAnsi"/>
          <w:lang w:val="et-EE"/>
        </w:rPr>
        <w:t xml:space="preserve">gadel ning millel puudub otsene </w:t>
      </w:r>
      <w:r w:rsidRPr="00BA1430">
        <w:rPr>
          <w:rFonts w:eastAsiaTheme="minorHAnsi"/>
          <w:lang w:val="et-EE"/>
        </w:rPr>
        <w:t>vastutasu maksumaksja jaoks.</w:t>
      </w:r>
    </w:p>
    <w:p w:rsidR="00A63708" w:rsidRPr="00BA1430" w:rsidRDefault="00A63708" w:rsidP="00A00FB6">
      <w:pPr>
        <w:autoSpaceDE w:val="0"/>
        <w:autoSpaceDN w:val="0"/>
        <w:adjustRightInd w:val="0"/>
        <w:spacing w:line="276" w:lineRule="auto"/>
        <w:jc w:val="both"/>
        <w:rPr>
          <w:rFonts w:eastAsiaTheme="minorHAnsi"/>
          <w:lang w:val="et-EE"/>
        </w:rPr>
      </w:pPr>
    </w:p>
    <w:p w:rsidR="004412A4" w:rsidRPr="00BA1430" w:rsidRDefault="00A97DB4" w:rsidP="00A00FB6">
      <w:pPr>
        <w:autoSpaceDE w:val="0"/>
        <w:autoSpaceDN w:val="0"/>
        <w:adjustRightInd w:val="0"/>
        <w:spacing w:line="276" w:lineRule="auto"/>
        <w:jc w:val="both"/>
        <w:rPr>
          <w:rFonts w:eastAsiaTheme="minorHAnsi"/>
          <w:lang w:val="et-EE"/>
        </w:rPr>
      </w:pPr>
      <w:r w:rsidRPr="00BA1430">
        <w:rPr>
          <w:rFonts w:eastAsiaTheme="minorHAnsi"/>
          <w:lang w:val="et-EE"/>
        </w:rPr>
        <w:t>Maksud jagunevad riiklikeks ja kohalikeks maksudeks Riiklikud maksud on FIT ja maamaks.</w:t>
      </w:r>
      <w:r w:rsidR="00944542" w:rsidRPr="00BA1430">
        <w:rPr>
          <w:rFonts w:eastAsiaTheme="minorHAnsi"/>
          <w:lang w:val="et-EE"/>
        </w:rPr>
        <w:t xml:space="preserve"> </w:t>
      </w:r>
      <w:r w:rsidRPr="00BA1430">
        <w:rPr>
          <w:rFonts w:eastAsiaTheme="minorHAnsi"/>
          <w:lang w:val="et-EE"/>
        </w:rPr>
        <w:t>Kohalikud maksud vastavalt kohalike maksude seadusele on</w:t>
      </w:r>
      <w:r w:rsidR="00944542" w:rsidRPr="00BA1430">
        <w:rPr>
          <w:rFonts w:eastAsiaTheme="minorHAnsi"/>
          <w:lang w:val="et-EE"/>
        </w:rPr>
        <w:t xml:space="preserve"> r</w:t>
      </w:r>
      <w:r w:rsidRPr="00BA1430">
        <w:rPr>
          <w:rFonts w:eastAsiaTheme="minorHAnsi"/>
          <w:lang w:val="et-EE"/>
        </w:rPr>
        <w:t>eklaamimaks</w:t>
      </w:r>
      <w:r w:rsidR="00944542" w:rsidRPr="00BA1430">
        <w:rPr>
          <w:rFonts w:eastAsiaTheme="minorHAnsi"/>
          <w:lang w:val="et-EE"/>
        </w:rPr>
        <w:t>, t</w:t>
      </w:r>
      <w:r w:rsidRPr="00BA1430">
        <w:rPr>
          <w:rFonts w:eastAsiaTheme="minorHAnsi"/>
          <w:lang w:val="et-EE"/>
        </w:rPr>
        <w:t>eede ja tänavate sulgemise maks</w:t>
      </w:r>
      <w:r w:rsidR="00944542" w:rsidRPr="00BA1430">
        <w:rPr>
          <w:rFonts w:eastAsiaTheme="minorHAnsi"/>
          <w:lang w:val="et-EE"/>
        </w:rPr>
        <w:t>, m</w:t>
      </w:r>
      <w:r w:rsidRPr="00BA1430">
        <w:rPr>
          <w:rFonts w:eastAsiaTheme="minorHAnsi"/>
          <w:lang w:val="et-EE"/>
        </w:rPr>
        <w:t>ootorsõidukimaks</w:t>
      </w:r>
      <w:r w:rsidR="00944542" w:rsidRPr="00BA1430">
        <w:rPr>
          <w:rFonts w:eastAsiaTheme="minorHAnsi"/>
          <w:lang w:val="et-EE"/>
        </w:rPr>
        <w:t>, l</w:t>
      </w:r>
      <w:r w:rsidRPr="00BA1430">
        <w:rPr>
          <w:rFonts w:eastAsiaTheme="minorHAnsi"/>
          <w:lang w:val="et-EE"/>
        </w:rPr>
        <w:t>oomapidamismaks</w:t>
      </w:r>
      <w:r w:rsidR="00944542" w:rsidRPr="00BA1430">
        <w:rPr>
          <w:rFonts w:eastAsiaTheme="minorHAnsi"/>
          <w:lang w:val="et-EE"/>
        </w:rPr>
        <w:t>, l</w:t>
      </w:r>
      <w:r w:rsidRPr="00BA1430">
        <w:rPr>
          <w:rFonts w:eastAsiaTheme="minorHAnsi"/>
          <w:lang w:val="et-EE"/>
        </w:rPr>
        <w:t>õbustusmaks</w:t>
      </w:r>
      <w:r w:rsidR="00944542" w:rsidRPr="00BA1430">
        <w:rPr>
          <w:rFonts w:eastAsiaTheme="minorHAnsi"/>
          <w:lang w:val="et-EE"/>
        </w:rPr>
        <w:t xml:space="preserve"> ja p</w:t>
      </w:r>
      <w:r w:rsidRPr="00BA1430">
        <w:rPr>
          <w:rFonts w:eastAsiaTheme="minorHAnsi"/>
          <w:lang w:val="et-EE"/>
        </w:rPr>
        <w:t>arkimistasu.</w:t>
      </w:r>
      <w:r w:rsidR="00944542" w:rsidRPr="00BA1430">
        <w:rPr>
          <w:rFonts w:eastAsiaTheme="minorHAnsi"/>
          <w:lang w:val="et-EE"/>
        </w:rPr>
        <w:t xml:space="preserve"> </w:t>
      </w:r>
      <w:r w:rsidRPr="00BA1430">
        <w:rPr>
          <w:rFonts w:eastAsiaTheme="minorHAnsi"/>
          <w:lang w:val="et-EE"/>
        </w:rPr>
        <w:t>Viru-Nigula vald kohalik</w:t>
      </w:r>
      <w:r w:rsidR="00944542" w:rsidRPr="00BA1430">
        <w:rPr>
          <w:rFonts w:eastAsiaTheme="minorHAnsi"/>
          <w:lang w:val="et-EE"/>
        </w:rPr>
        <w:t>k</w:t>
      </w:r>
      <w:r w:rsidRPr="00BA1430">
        <w:rPr>
          <w:rFonts w:eastAsiaTheme="minorHAnsi"/>
          <w:lang w:val="et-EE"/>
        </w:rPr>
        <w:t>e makse kehtestanud ei ole. Eelarvestrateegia perioodil ei ole neid kavas kehtestada.</w:t>
      </w:r>
    </w:p>
    <w:p w:rsidR="00A97DB4" w:rsidRPr="00BA1430" w:rsidRDefault="00A97DB4" w:rsidP="00A00FB6">
      <w:pPr>
        <w:autoSpaceDE w:val="0"/>
        <w:autoSpaceDN w:val="0"/>
        <w:adjustRightInd w:val="0"/>
        <w:spacing w:line="276" w:lineRule="auto"/>
        <w:jc w:val="both"/>
        <w:rPr>
          <w:rFonts w:eastAsiaTheme="minorHAnsi"/>
          <w:lang w:val="et-EE"/>
        </w:rPr>
      </w:pPr>
    </w:p>
    <w:p w:rsidR="004412A4" w:rsidRDefault="00A97DB4" w:rsidP="00A00FB6">
      <w:pPr>
        <w:autoSpaceDE w:val="0"/>
        <w:autoSpaceDN w:val="0"/>
        <w:adjustRightInd w:val="0"/>
        <w:spacing w:line="276" w:lineRule="auto"/>
        <w:jc w:val="both"/>
        <w:rPr>
          <w:rFonts w:eastAsiaTheme="minorHAnsi"/>
          <w:lang w:val="et-EE"/>
        </w:rPr>
      </w:pPr>
      <w:r w:rsidRPr="00BA1430">
        <w:rPr>
          <w:rFonts w:eastAsiaTheme="minorHAnsi"/>
          <w:lang w:val="et-EE"/>
        </w:rPr>
        <w:t xml:space="preserve">Maamaksu osas on </w:t>
      </w:r>
      <w:r w:rsidR="00C37F22" w:rsidRPr="00BA1430">
        <w:rPr>
          <w:rFonts w:eastAsiaTheme="minorHAnsi"/>
          <w:lang w:val="et-EE"/>
        </w:rPr>
        <w:t xml:space="preserve">kavas vaadata läbi maamaksustamise koefitsiendid, </w:t>
      </w:r>
      <w:r w:rsidR="008E56DE" w:rsidRPr="00BA1430">
        <w:rPr>
          <w:rFonts w:eastAsiaTheme="minorHAnsi"/>
          <w:lang w:val="et-EE"/>
        </w:rPr>
        <w:t>maakasutus ja selle tulemusel peaks laekumine kasvama 2020</w:t>
      </w:r>
      <w:r w:rsidR="007E22D7">
        <w:rPr>
          <w:rFonts w:eastAsiaTheme="minorHAnsi"/>
          <w:lang w:val="et-EE"/>
        </w:rPr>
        <w:t>.</w:t>
      </w:r>
      <w:r w:rsidR="008E56DE" w:rsidRPr="00BA1430">
        <w:rPr>
          <w:rFonts w:eastAsiaTheme="minorHAnsi"/>
          <w:lang w:val="et-EE"/>
        </w:rPr>
        <w:t xml:space="preserve"> aastal 12 tuh</w:t>
      </w:r>
      <w:r w:rsidR="00266607" w:rsidRPr="00BA1430">
        <w:rPr>
          <w:rFonts w:eastAsiaTheme="minorHAnsi"/>
          <w:lang w:val="et-EE"/>
        </w:rPr>
        <w:t>at</w:t>
      </w:r>
      <w:r w:rsidR="008E56DE" w:rsidRPr="00BA1430">
        <w:rPr>
          <w:rFonts w:eastAsiaTheme="minorHAnsi"/>
          <w:lang w:val="et-EE"/>
        </w:rPr>
        <w:t xml:space="preserve"> eurot. Kui riigi keskvalitsus muudab maksustamise aluseid, mis võivad muuta maamaksu laekumist, siis peab ka prognoosi muutma.</w:t>
      </w:r>
    </w:p>
    <w:p w:rsidR="007E22D7" w:rsidRPr="00BA1430" w:rsidRDefault="007E22D7" w:rsidP="00A00FB6">
      <w:pPr>
        <w:autoSpaceDE w:val="0"/>
        <w:autoSpaceDN w:val="0"/>
        <w:adjustRightInd w:val="0"/>
        <w:spacing w:line="276" w:lineRule="auto"/>
        <w:jc w:val="both"/>
        <w:rPr>
          <w:rFonts w:eastAsiaTheme="minorHAnsi"/>
          <w:lang w:val="et-EE"/>
        </w:rPr>
      </w:pPr>
    </w:p>
    <w:p w:rsidR="00A97DB4" w:rsidRDefault="00A97DB4" w:rsidP="00A97DB4">
      <w:pPr>
        <w:rPr>
          <w:rFonts w:ascii="Trebuchet MS" w:hAnsi="Trebuchet MS"/>
          <w:b/>
          <w:lang w:val="et-EE"/>
        </w:rPr>
      </w:pPr>
    </w:p>
    <w:p w:rsidR="008513EC" w:rsidRPr="00BA1430" w:rsidRDefault="00A97DB4" w:rsidP="008C75F9">
      <w:pPr>
        <w:pStyle w:val="Pealkiri1"/>
        <w:jc w:val="left"/>
        <w:rPr>
          <w:color w:val="auto"/>
          <w:sz w:val="28"/>
        </w:rPr>
      </w:pPr>
      <w:bookmarkStart w:id="18" w:name="_Toc521395304"/>
      <w:r w:rsidRPr="00BA1430">
        <w:rPr>
          <w:color w:val="auto"/>
          <w:sz w:val="28"/>
        </w:rPr>
        <w:t xml:space="preserve">5. Ülevaade </w:t>
      </w:r>
      <w:r w:rsidR="00F7097C" w:rsidRPr="00BA1430">
        <w:rPr>
          <w:color w:val="auto"/>
          <w:sz w:val="28"/>
        </w:rPr>
        <w:t>vallast</w:t>
      </w:r>
      <w:r w:rsidRPr="00BA1430">
        <w:rPr>
          <w:color w:val="auto"/>
          <w:sz w:val="28"/>
        </w:rPr>
        <w:t xml:space="preserve"> ja </w:t>
      </w:r>
      <w:r w:rsidR="00F7097C" w:rsidRPr="00BA1430">
        <w:rPr>
          <w:color w:val="auto"/>
          <w:sz w:val="28"/>
        </w:rPr>
        <w:t xml:space="preserve">temast sõltuvatest </w:t>
      </w:r>
      <w:r w:rsidRPr="00BA1430">
        <w:rPr>
          <w:color w:val="auto"/>
          <w:sz w:val="28"/>
        </w:rPr>
        <w:t>arvestusüksustest</w:t>
      </w:r>
      <w:bookmarkEnd w:id="18"/>
      <w:r w:rsidRPr="00BA1430">
        <w:rPr>
          <w:color w:val="auto"/>
          <w:sz w:val="28"/>
        </w:rPr>
        <w:t xml:space="preserve"> </w:t>
      </w:r>
    </w:p>
    <w:p w:rsidR="00924C20" w:rsidRPr="00025237" w:rsidRDefault="00924C20" w:rsidP="008513EC">
      <w:pPr>
        <w:rPr>
          <w:rFonts w:ascii="Trebuchet MS" w:hAnsi="Trebuchet MS"/>
          <w:b/>
          <w:lang w:val="et-EE"/>
        </w:rPr>
      </w:pPr>
    </w:p>
    <w:p w:rsidR="00266607" w:rsidRPr="00BA1430" w:rsidRDefault="00266607" w:rsidP="00BA1430">
      <w:pPr>
        <w:spacing w:line="360" w:lineRule="auto"/>
        <w:rPr>
          <w:lang w:val="et-EE"/>
        </w:rPr>
      </w:pPr>
      <w:r w:rsidRPr="00BA1430">
        <w:rPr>
          <w:lang w:val="et-EE"/>
        </w:rPr>
        <w:t>Viru-Nigula valla ja temast sõltuvate üksuste arvnäitajate prognoos on esitatud tabelis 12.</w:t>
      </w:r>
    </w:p>
    <w:tbl>
      <w:tblPr>
        <w:tblW w:w="9204" w:type="dxa"/>
        <w:tblCellMar>
          <w:left w:w="70" w:type="dxa"/>
          <w:right w:w="70" w:type="dxa"/>
        </w:tblCellMar>
        <w:tblLook w:val="04A0" w:firstRow="1" w:lastRow="0" w:firstColumn="1" w:lastColumn="0" w:noHBand="0" w:noVBand="1"/>
      </w:tblPr>
      <w:tblGrid>
        <w:gridCol w:w="2117"/>
        <w:gridCol w:w="992"/>
        <w:gridCol w:w="1134"/>
        <w:gridCol w:w="992"/>
        <w:gridCol w:w="992"/>
        <w:gridCol w:w="993"/>
        <w:gridCol w:w="992"/>
        <w:gridCol w:w="992"/>
      </w:tblGrid>
      <w:tr w:rsidR="00794D47" w:rsidRPr="00794D47" w:rsidTr="00341EE2">
        <w:trPr>
          <w:trHeight w:val="690"/>
        </w:trPr>
        <w:tc>
          <w:tcPr>
            <w:tcW w:w="2117" w:type="dxa"/>
            <w:tcBorders>
              <w:top w:val="single" w:sz="8" w:space="0" w:color="000000"/>
              <w:left w:val="single" w:sz="8" w:space="0" w:color="000000"/>
              <w:bottom w:val="single" w:sz="4" w:space="0" w:color="000000"/>
              <w:right w:val="nil"/>
            </w:tcBorders>
            <w:shd w:val="clear" w:color="auto" w:fill="D6E3BC" w:themeFill="accent3" w:themeFillTint="66"/>
            <w:vAlign w:val="bottom"/>
            <w:hideMark/>
          </w:tcPr>
          <w:p w:rsidR="00794D47" w:rsidRPr="00794D47" w:rsidRDefault="00794D47" w:rsidP="00794D47">
            <w:pPr>
              <w:rPr>
                <w:rFonts w:ascii="Arial" w:hAnsi="Arial" w:cs="Arial"/>
                <w:b/>
                <w:bCs/>
                <w:sz w:val="16"/>
                <w:szCs w:val="16"/>
                <w:lang w:val="et-EE" w:eastAsia="et-EE"/>
              </w:rPr>
            </w:pPr>
            <w:r w:rsidRPr="00794D47">
              <w:rPr>
                <w:rFonts w:ascii="Arial" w:hAnsi="Arial" w:cs="Arial"/>
                <w:b/>
                <w:bCs/>
                <w:sz w:val="16"/>
                <w:szCs w:val="16"/>
                <w:lang w:val="et-EE" w:eastAsia="et-EE"/>
              </w:rPr>
              <w:t>Viru - Nigula vald</w:t>
            </w:r>
          </w:p>
        </w:tc>
        <w:tc>
          <w:tcPr>
            <w:tcW w:w="9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bottom"/>
            <w:hideMark/>
          </w:tcPr>
          <w:p w:rsidR="00794D47" w:rsidRPr="00794D47" w:rsidRDefault="00794D47" w:rsidP="00794D47">
            <w:pPr>
              <w:jc w:val="center"/>
              <w:rPr>
                <w:rFonts w:ascii="Arial" w:hAnsi="Arial" w:cs="Arial"/>
                <w:b/>
                <w:bCs/>
                <w:sz w:val="16"/>
                <w:szCs w:val="16"/>
                <w:lang w:val="et-EE" w:eastAsia="et-EE"/>
              </w:rPr>
            </w:pPr>
            <w:r w:rsidRPr="00794D47">
              <w:rPr>
                <w:rFonts w:ascii="Arial" w:hAnsi="Arial" w:cs="Arial"/>
                <w:b/>
                <w:bCs/>
                <w:sz w:val="16"/>
                <w:szCs w:val="16"/>
                <w:lang w:val="et-EE" w:eastAsia="et-EE"/>
              </w:rPr>
              <w:t>2017 täitmine</w:t>
            </w:r>
          </w:p>
        </w:tc>
        <w:tc>
          <w:tcPr>
            <w:tcW w:w="1134"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794D47" w:rsidRPr="00794D47" w:rsidRDefault="00794D47" w:rsidP="00794D47">
            <w:pPr>
              <w:jc w:val="center"/>
              <w:rPr>
                <w:rFonts w:ascii="Arial" w:hAnsi="Arial" w:cs="Arial"/>
                <w:b/>
                <w:bCs/>
                <w:sz w:val="16"/>
                <w:szCs w:val="16"/>
                <w:lang w:val="et-EE" w:eastAsia="et-EE"/>
              </w:rPr>
            </w:pPr>
            <w:r w:rsidRPr="00794D47">
              <w:rPr>
                <w:rFonts w:ascii="Arial" w:hAnsi="Arial" w:cs="Arial"/>
                <w:b/>
                <w:bCs/>
                <w:sz w:val="16"/>
                <w:szCs w:val="16"/>
                <w:lang w:val="et-EE" w:eastAsia="et-EE"/>
              </w:rPr>
              <w:t>2018 eeldatav täitmine</w:t>
            </w:r>
          </w:p>
        </w:tc>
        <w:tc>
          <w:tcPr>
            <w:tcW w:w="99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794D47" w:rsidRPr="00794D47" w:rsidRDefault="00794D47" w:rsidP="00794D47">
            <w:pPr>
              <w:jc w:val="center"/>
              <w:rPr>
                <w:rFonts w:ascii="Arial" w:hAnsi="Arial" w:cs="Arial"/>
                <w:b/>
                <w:bCs/>
                <w:sz w:val="16"/>
                <w:szCs w:val="16"/>
                <w:lang w:val="et-EE" w:eastAsia="et-EE"/>
              </w:rPr>
            </w:pPr>
            <w:r w:rsidRPr="00794D47">
              <w:rPr>
                <w:rFonts w:ascii="Arial" w:hAnsi="Arial" w:cs="Arial"/>
                <w:b/>
                <w:bCs/>
                <w:sz w:val="16"/>
                <w:szCs w:val="16"/>
                <w:lang w:val="et-EE" w:eastAsia="et-EE"/>
              </w:rPr>
              <w:t xml:space="preserve">2019 eelarve  </w:t>
            </w:r>
          </w:p>
        </w:tc>
        <w:tc>
          <w:tcPr>
            <w:tcW w:w="99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794D47" w:rsidRPr="00794D47" w:rsidRDefault="00794D47" w:rsidP="00794D47">
            <w:pPr>
              <w:jc w:val="center"/>
              <w:rPr>
                <w:rFonts w:ascii="Arial" w:hAnsi="Arial" w:cs="Arial"/>
                <w:b/>
                <w:bCs/>
                <w:sz w:val="16"/>
                <w:szCs w:val="16"/>
                <w:lang w:val="et-EE" w:eastAsia="et-EE"/>
              </w:rPr>
            </w:pPr>
            <w:r w:rsidRPr="00794D47">
              <w:rPr>
                <w:rFonts w:ascii="Arial" w:hAnsi="Arial" w:cs="Arial"/>
                <w:b/>
                <w:bCs/>
                <w:sz w:val="16"/>
                <w:szCs w:val="16"/>
                <w:lang w:val="et-EE" w:eastAsia="et-EE"/>
              </w:rPr>
              <w:t xml:space="preserve">2020 eelarve  </w:t>
            </w:r>
          </w:p>
        </w:tc>
        <w:tc>
          <w:tcPr>
            <w:tcW w:w="993"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794D47" w:rsidRPr="00794D47" w:rsidRDefault="00794D47" w:rsidP="00794D47">
            <w:pPr>
              <w:jc w:val="center"/>
              <w:rPr>
                <w:rFonts w:ascii="Arial" w:hAnsi="Arial" w:cs="Arial"/>
                <w:b/>
                <w:bCs/>
                <w:sz w:val="16"/>
                <w:szCs w:val="16"/>
                <w:lang w:val="et-EE" w:eastAsia="et-EE"/>
              </w:rPr>
            </w:pPr>
            <w:r w:rsidRPr="00794D47">
              <w:rPr>
                <w:rFonts w:ascii="Arial" w:hAnsi="Arial" w:cs="Arial"/>
                <w:b/>
                <w:bCs/>
                <w:sz w:val="16"/>
                <w:szCs w:val="16"/>
                <w:lang w:val="et-EE" w:eastAsia="et-EE"/>
              </w:rPr>
              <w:t xml:space="preserve">2021 eelarve  </w:t>
            </w:r>
          </w:p>
        </w:tc>
        <w:tc>
          <w:tcPr>
            <w:tcW w:w="99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794D47" w:rsidRPr="00794D47" w:rsidRDefault="00794D47" w:rsidP="00794D47">
            <w:pPr>
              <w:jc w:val="center"/>
              <w:rPr>
                <w:rFonts w:ascii="Arial" w:hAnsi="Arial" w:cs="Arial"/>
                <w:b/>
                <w:bCs/>
                <w:sz w:val="16"/>
                <w:szCs w:val="16"/>
                <w:lang w:val="et-EE" w:eastAsia="et-EE"/>
              </w:rPr>
            </w:pPr>
            <w:r w:rsidRPr="00794D47">
              <w:rPr>
                <w:rFonts w:ascii="Arial" w:hAnsi="Arial" w:cs="Arial"/>
                <w:b/>
                <w:bCs/>
                <w:sz w:val="16"/>
                <w:szCs w:val="16"/>
                <w:lang w:val="et-EE" w:eastAsia="et-EE"/>
              </w:rPr>
              <w:t xml:space="preserve">2022 eelarve  </w:t>
            </w:r>
          </w:p>
        </w:tc>
        <w:tc>
          <w:tcPr>
            <w:tcW w:w="992" w:type="dxa"/>
            <w:tcBorders>
              <w:top w:val="single" w:sz="8" w:space="0" w:color="000000"/>
              <w:left w:val="nil"/>
              <w:bottom w:val="single" w:sz="8" w:space="0" w:color="000000"/>
              <w:right w:val="single" w:sz="4" w:space="0" w:color="000000"/>
            </w:tcBorders>
            <w:shd w:val="clear" w:color="auto" w:fill="D6E3BC" w:themeFill="accent3" w:themeFillTint="66"/>
            <w:vAlign w:val="bottom"/>
            <w:hideMark/>
          </w:tcPr>
          <w:p w:rsidR="00794D47" w:rsidRPr="00794D47" w:rsidRDefault="00794D47" w:rsidP="00794D47">
            <w:pPr>
              <w:jc w:val="center"/>
              <w:rPr>
                <w:rFonts w:ascii="Arial" w:hAnsi="Arial" w:cs="Arial"/>
                <w:b/>
                <w:bCs/>
                <w:sz w:val="16"/>
                <w:szCs w:val="16"/>
                <w:lang w:val="et-EE" w:eastAsia="et-EE"/>
              </w:rPr>
            </w:pPr>
            <w:r w:rsidRPr="00794D47">
              <w:rPr>
                <w:rFonts w:ascii="Arial" w:hAnsi="Arial" w:cs="Arial"/>
                <w:b/>
                <w:bCs/>
                <w:sz w:val="16"/>
                <w:szCs w:val="16"/>
                <w:lang w:val="et-EE" w:eastAsia="et-EE"/>
              </w:rPr>
              <w:t xml:space="preserve">2023 eelarve  </w:t>
            </w:r>
          </w:p>
        </w:tc>
      </w:tr>
      <w:tr w:rsidR="00794D47" w:rsidRPr="00794D47" w:rsidTr="007C4C4A">
        <w:trPr>
          <w:trHeight w:val="255"/>
        </w:trPr>
        <w:tc>
          <w:tcPr>
            <w:tcW w:w="2117" w:type="dxa"/>
            <w:tcBorders>
              <w:top w:val="nil"/>
              <w:left w:val="single" w:sz="8" w:space="0" w:color="000000"/>
              <w:bottom w:val="single" w:sz="4" w:space="0" w:color="000000"/>
              <w:right w:val="nil"/>
            </w:tcBorders>
            <w:shd w:val="clear" w:color="auto" w:fill="FFFFFF" w:themeFill="background1"/>
            <w:noWrap/>
            <w:vAlign w:val="center"/>
            <w:hideMark/>
          </w:tcPr>
          <w:p w:rsidR="00794D47" w:rsidRPr="007C4C4A" w:rsidRDefault="00794D47" w:rsidP="00794D47">
            <w:pPr>
              <w:rPr>
                <w:rFonts w:ascii="Arial" w:hAnsi="Arial" w:cs="Arial"/>
                <w:b/>
                <w:bCs/>
                <w:sz w:val="16"/>
                <w:szCs w:val="16"/>
                <w:lang w:val="et-EE" w:eastAsia="et-EE"/>
              </w:rPr>
            </w:pPr>
            <w:r w:rsidRPr="007C4C4A">
              <w:rPr>
                <w:rFonts w:ascii="Arial" w:hAnsi="Arial" w:cs="Arial"/>
                <w:b/>
                <w:bCs/>
                <w:sz w:val="16"/>
                <w:szCs w:val="16"/>
                <w:lang w:val="et-EE" w:eastAsia="et-EE"/>
              </w:rPr>
              <w:t>Põhitegevuse tulud kokku</w:t>
            </w:r>
          </w:p>
        </w:tc>
        <w:tc>
          <w:tcPr>
            <w:tcW w:w="992" w:type="dxa"/>
            <w:tcBorders>
              <w:top w:val="nil"/>
              <w:left w:val="single" w:sz="4" w:space="0" w:color="auto"/>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7 631 318</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8 274 143</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8 479 342</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8 459 170</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8 607 611</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8 749 962</w:t>
            </w:r>
          </w:p>
        </w:tc>
        <w:tc>
          <w:tcPr>
            <w:tcW w:w="992" w:type="dxa"/>
            <w:tcBorders>
              <w:top w:val="single" w:sz="4" w:space="0" w:color="000000"/>
              <w:left w:val="nil"/>
              <w:bottom w:val="single" w:sz="4" w:space="0" w:color="000000"/>
              <w:right w:val="single" w:sz="8" w:space="0" w:color="000000"/>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8 888 355</w:t>
            </w:r>
          </w:p>
        </w:tc>
      </w:tr>
      <w:tr w:rsidR="00794D47" w:rsidRPr="00794D47" w:rsidTr="007C4C4A">
        <w:trPr>
          <w:trHeight w:val="225"/>
        </w:trPr>
        <w:tc>
          <w:tcPr>
            <w:tcW w:w="2117" w:type="dxa"/>
            <w:tcBorders>
              <w:top w:val="nil"/>
              <w:left w:val="single" w:sz="8" w:space="0" w:color="000000"/>
              <w:bottom w:val="single" w:sz="4" w:space="0" w:color="000000"/>
              <w:right w:val="nil"/>
            </w:tcBorders>
            <w:shd w:val="clear" w:color="auto" w:fill="FFFFFF" w:themeFill="background1"/>
            <w:noWrap/>
            <w:vAlign w:val="center"/>
            <w:hideMark/>
          </w:tcPr>
          <w:p w:rsidR="00794D47" w:rsidRPr="007C4C4A" w:rsidRDefault="00794D47" w:rsidP="00794D47">
            <w:pPr>
              <w:rPr>
                <w:rFonts w:ascii="Arial" w:hAnsi="Arial" w:cs="Arial"/>
                <w:b/>
                <w:bCs/>
                <w:sz w:val="16"/>
                <w:szCs w:val="16"/>
                <w:lang w:val="et-EE" w:eastAsia="et-EE"/>
              </w:rPr>
            </w:pPr>
            <w:r w:rsidRPr="007C4C4A">
              <w:rPr>
                <w:rFonts w:ascii="Arial" w:hAnsi="Arial" w:cs="Arial"/>
                <w:b/>
                <w:bCs/>
                <w:sz w:val="16"/>
                <w:szCs w:val="16"/>
                <w:lang w:val="et-EE" w:eastAsia="et-EE"/>
              </w:rPr>
              <w:t>Põhitegevuse kulud kokku</w:t>
            </w:r>
          </w:p>
        </w:tc>
        <w:tc>
          <w:tcPr>
            <w:tcW w:w="992" w:type="dxa"/>
            <w:tcBorders>
              <w:top w:val="nil"/>
              <w:left w:val="single" w:sz="4" w:space="0" w:color="auto"/>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7 149 350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7 981 912</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8 070 000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8 170 000</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8 310 000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8 405 000</w:t>
            </w:r>
          </w:p>
        </w:tc>
        <w:tc>
          <w:tcPr>
            <w:tcW w:w="992" w:type="dxa"/>
            <w:tcBorders>
              <w:top w:val="nil"/>
              <w:left w:val="nil"/>
              <w:bottom w:val="single" w:sz="4" w:space="0" w:color="000000"/>
              <w:right w:val="single" w:sz="8" w:space="0" w:color="000000"/>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8 495 000</w:t>
            </w:r>
          </w:p>
        </w:tc>
      </w:tr>
      <w:tr w:rsidR="00794D47" w:rsidRPr="00794D47" w:rsidTr="007C4C4A">
        <w:trPr>
          <w:trHeight w:val="225"/>
        </w:trPr>
        <w:tc>
          <w:tcPr>
            <w:tcW w:w="2117" w:type="dxa"/>
            <w:tcBorders>
              <w:top w:val="nil"/>
              <w:left w:val="single" w:sz="8" w:space="0" w:color="000000"/>
              <w:bottom w:val="single" w:sz="4" w:space="0" w:color="000000"/>
              <w:right w:val="nil"/>
            </w:tcBorders>
            <w:shd w:val="clear" w:color="auto" w:fill="FFFFFF" w:themeFill="background1"/>
            <w:noWrap/>
            <w:vAlign w:val="center"/>
            <w:hideMark/>
          </w:tcPr>
          <w:p w:rsidR="00794D47" w:rsidRPr="007C4C4A" w:rsidRDefault="00794D47" w:rsidP="00794D47">
            <w:pPr>
              <w:rPr>
                <w:rFonts w:ascii="Arial" w:hAnsi="Arial" w:cs="Arial"/>
                <w:i/>
                <w:iCs/>
                <w:sz w:val="16"/>
                <w:szCs w:val="16"/>
                <w:lang w:val="et-EE" w:eastAsia="et-EE"/>
              </w:rPr>
            </w:pPr>
            <w:r w:rsidRPr="007C4C4A">
              <w:rPr>
                <w:rFonts w:ascii="Arial" w:hAnsi="Arial" w:cs="Arial"/>
                <w:i/>
                <w:iCs/>
                <w:sz w:val="16"/>
                <w:szCs w:val="16"/>
                <w:lang w:val="et-EE" w:eastAsia="et-EE"/>
              </w:rPr>
              <w:t xml:space="preserve">   sh alates </w:t>
            </w:r>
            <w:r w:rsidRPr="007C4C4A">
              <w:rPr>
                <w:rFonts w:ascii="Arial" w:hAnsi="Arial" w:cs="Arial"/>
                <w:b/>
                <w:bCs/>
                <w:i/>
                <w:iCs/>
                <w:sz w:val="16"/>
                <w:szCs w:val="16"/>
                <w:lang w:val="et-EE" w:eastAsia="et-EE"/>
              </w:rPr>
              <w:t>2012</w:t>
            </w:r>
            <w:r w:rsidRPr="007C4C4A">
              <w:rPr>
                <w:rFonts w:ascii="Arial" w:hAnsi="Arial" w:cs="Arial"/>
                <w:i/>
                <w:iCs/>
                <w:sz w:val="16"/>
                <w:szCs w:val="16"/>
                <w:lang w:val="et-EE" w:eastAsia="et-EE"/>
              </w:rPr>
              <w:t xml:space="preserve"> sõlmitud katkestamatud kasutusrendimaksed </w:t>
            </w:r>
          </w:p>
        </w:tc>
        <w:tc>
          <w:tcPr>
            <w:tcW w:w="992" w:type="dxa"/>
            <w:tcBorders>
              <w:top w:val="nil"/>
              <w:left w:val="single" w:sz="4" w:space="0" w:color="auto"/>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0</w:t>
            </w:r>
          </w:p>
        </w:tc>
        <w:tc>
          <w:tcPr>
            <w:tcW w:w="992" w:type="dxa"/>
            <w:tcBorders>
              <w:top w:val="nil"/>
              <w:left w:val="nil"/>
              <w:bottom w:val="single" w:sz="4" w:space="0" w:color="000000"/>
              <w:right w:val="single" w:sz="8" w:space="0" w:color="000000"/>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0</w:t>
            </w:r>
          </w:p>
        </w:tc>
      </w:tr>
      <w:tr w:rsidR="00794D47" w:rsidRPr="00794D47" w:rsidTr="007C4C4A">
        <w:trPr>
          <w:trHeight w:val="225"/>
        </w:trPr>
        <w:tc>
          <w:tcPr>
            <w:tcW w:w="2117" w:type="dxa"/>
            <w:tcBorders>
              <w:top w:val="nil"/>
              <w:left w:val="single" w:sz="8" w:space="0" w:color="000000"/>
              <w:bottom w:val="single" w:sz="4" w:space="0" w:color="000000"/>
              <w:right w:val="nil"/>
            </w:tcBorders>
            <w:shd w:val="clear" w:color="auto" w:fill="FFFFFF" w:themeFill="background1"/>
            <w:noWrap/>
            <w:vAlign w:val="center"/>
            <w:hideMark/>
          </w:tcPr>
          <w:p w:rsidR="00794D47" w:rsidRPr="007C4C4A" w:rsidRDefault="00794D47" w:rsidP="00794D47">
            <w:pPr>
              <w:rPr>
                <w:rFonts w:ascii="Arial" w:hAnsi="Arial" w:cs="Arial"/>
                <w:b/>
                <w:bCs/>
                <w:sz w:val="16"/>
                <w:szCs w:val="16"/>
                <w:lang w:val="et-EE" w:eastAsia="et-EE"/>
              </w:rPr>
            </w:pPr>
            <w:r w:rsidRPr="007C4C4A">
              <w:rPr>
                <w:rFonts w:ascii="Arial" w:hAnsi="Arial" w:cs="Arial"/>
                <w:b/>
                <w:bCs/>
                <w:sz w:val="16"/>
                <w:szCs w:val="16"/>
                <w:lang w:val="et-EE" w:eastAsia="et-EE"/>
              </w:rPr>
              <w:t>Põhitegevustulem</w:t>
            </w:r>
          </w:p>
        </w:tc>
        <w:tc>
          <w:tcPr>
            <w:tcW w:w="992" w:type="dxa"/>
            <w:tcBorders>
              <w:top w:val="nil"/>
              <w:left w:val="single" w:sz="4" w:space="0" w:color="auto"/>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481 968</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292 232</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409 342</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289 170</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297 611</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344 962</w:t>
            </w:r>
          </w:p>
        </w:tc>
        <w:tc>
          <w:tcPr>
            <w:tcW w:w="992" w:type="dxa"/>
            <w:tcBorders>
              <w:top w:val="nil"/>
              <w:left w:val="nil"/>
              <w:bottom w:val="single" w:sz="4" w:space="0" w:color="000000"/>
              <w:right w:val="single" w:sz="8" w:space="0" w:color="000000"/>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393 355</w:t>
            </w:r>
          </w:p>
        </w:tc>
      </w:tr>
      <w:tr w:rsidR="00794D47" w:rsidRPr="00794D47" w:rsidTr="007C4C4A">
        <w:trPr>
          <w:trHeight w:val="225"/>
        </w:trPr>
        <w:tc>
          <w:tcPr>
            <w:tcW w:w="2117" w:type="dxa"/>
            <w:tcBorders>
              <w:top w:val="nil"/>
              <w:left w:val="single" w:sz="8" w:space="0" w:color="000000"/>
              <w:bottom w:val="single" w:sz="4" w:space="0" w:color="000000"/>
              <w:right w:val="nil"/>
            </w:tcBorders>
            <w:shd w:val="clear" w:color="auto" w:fill="FFFFFF" w:themeFill="background1"/>
            <w:vAlign w:val="bottom"/>
            <w:hideMark/>
          </w:tcPr>
          <w:p w:rsidR="00794D47" w:rsidRPr="007C4C4A" w:rsidRDefault="00794D47" w:rsidP="00794D47">
            <w:pPr>
              <w:rPr>
                <w:rFonts w:ascii="Arial" w:hAnsi="Arial" w:cs="Arial"/>
                <w:b/>
                <w:bCs/>
                <w:sz w:val="16"/>
                <w:szCs w:val="16"/>
                <w:lang w:val="et-EE" w:eastAsia="et-EE"/>
              </w:rPr>
            </w:pPr>
            <w:r w:rsidRPr="007C4C4A">
              <w:rPr>
                <w:rFonts w:ascii="Arial" w:hAnsi="Arial" w:cs="Arial"/>
                <w:b/>
                <w:bCs/>
                <w:sz w:val="16"/>
                <w:szCs w:val="16"/>
                <w:lang w:val="et-EE" w:eastAsia="et-EE"/>
              </w:rPr>
              <w:lastRenderedPageBreak/>
              <w:t>Investeerimistegevus kokku</w:t>
            </w:r>
          </w:p>
        </w:tc>
        <w:tc>
          <w:tcPr>
            <w:tcW w:w="992" w:type="dxa"/>
            <w:tcBorders>
              <w:top w:val="nil"/>
              <w:left w:val="single" w:sz="4" w:space="0" w:color="auto"/>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-1 046 596</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-358 451</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-1 833 822</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-594 160</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-350 250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-306 535</w:t>
            </w:r>
          </w:p>
        </w:tc>
        <w:tc>
          <w:tcPr>
            <w:tcW w:w="992" w:type="dxa"/>
            <w:tcBorders>
              <w:top w:val="nil"/>
              <w:left w:val="nil"/>
              <w:bottom w:val="single" w:sz="4" w:space="0" w:color="000000"/>
              <w:right w:val="single" w:sz="8" w:space="0" w:color="000000"/>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-115 000</w:t>
            </w:r>
          </w:p>
        </w:tc>
      </w:tr>
      <w:tr w:rsidR="00794D47" w:rsidRPr="00794D47" w:rsidTr="007C4C4A">
        <w:trPr>
          <w:trHeight w:val="225"/>
        </w:trPr>
        <w:tc>
          <w:tcPr>
            <w:tcW w:w="2117" w:type="dxa"/>
            <w:tcBorders>
              <w:top w:val="nil"/>
              <w:left w:val="single" w:sz="8" w:space="0" w:color="000000"/>
              <w:bottom w:val="single" w:sz="4" w:space="0" w:color="000000"/>
              <w:right w:val="nil"/>
            </w:tcBorders>
            <w:shd w:val="clear" w:color="auto" w:fill="FFFFFF" w:themeFill="background1"/>
            <w:vAlign w:val="bottom"/>
            <w:hideMark/>
          </w:tcPr>
          <w:p w:rsidR="00794D47" w:rsidRPr="007C4C4A" w:rsidRDefault="00794D47" w:rsidP="00794D47">
            <w:pPr>
              <w:rPr>
                <w:rFonts w:ascii="Arial" w:hAnsi="Arial" w:cs="Arial"/>
                <w:b/>
                <w:bCs/>
                <w:sz w:val="16"/>
                <w:szCs w:val="16"/>
                <w:lang w:val="et-EE" w:eastAsia="et-EE"/>
              </w:rPr>
            </w:pPr>
            <w:r w:rsidRPr="007C4C4A">
              <w:rPr>
                <w:rFonts w:ascii="Arial" w:hAnsi="Arial" w:cs="Arial"/>
                <w:b/>
                <w:bCs/>
                <w:sz w:val="16"/>
                <w:szCs w:val="16"/>
                <w:lang w:val="et-EE" w:eastAsia="et-EE"/>
              </w:rPr>
              <w:t>Eelarve tulem</w:t>
            </w:r>
          </w:p>
        </w:tc>
        <w:tc>
          <w:tcPr>
            <w:tcW w:w="992" w:type="dxa"/>
            <w:tcBorders>
              <w:top w:val="nil"/>
              <w:left w:val="single" w:sz="4" w:space="0" w:color="auto"/>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-564 628</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-66 219</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-1 424 480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-304 990</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-52 639</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38 427</w:t>
            </w:r>
          </w:p>
        </w:tc>
        <w:tc>
          <w:tcPr>
            <w:tcW w:w="992" w:type="dxa"/>
            <w:tcBorders>
              <w:top w:val="nil"/>
              <w:left w:val="nil"/>
              <w:bottom w:val="single" w:sz="4" w:space="0" w:color="000000"/>
              <w:right w:val="single" w:sz="8" w:space="0" w:color="000000"/>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278 355</w:t>
            </w:r>
          </w:p>
        </w:tc>
      </w:tr>
      <w:tr w:rsidR="00794D47" w:rsidRPr="00794D47" w:rsidTr="007C4C4A">
        <w:trPr>
          <w:trHeight w:val="225"/>
        </w:trPr>
        <w:tc>
          <w:tcPr>
            <w:tcW w:w="2117" w:type="dxa"/>
            <w:tcBorders>
              <w:top w:val="nil"/>
              <w:left w:val="single" w:sz="8" w:space="0" w:color="000000"/>
              <w:bottom w:val="single" w:sz="4" w:space="0" w:color="000000"/>
              <w:right w:val="nil"/>
            </w:tcBorders>
            <w:shd w:val="clear" w:color="auto" w:fill="FFFFFF" w:themeFill="background1"/>
            <w:vAlign w:val="bottom"/>
            <w:hideMark/>
          </w:tcPr>
          <w:p w:rsidR="00794D47" w:rsidRPr="007C4C4A" w:rsidRDefault="00794D47" w:rsidP="00794D47">
            <w:pPr>
              <w:rPr>
                <w:rFonts w:ascii="Arial" w:hAnsi="Arial" w:cs="Arial"/>
                <w:b/>
                <w:bCs/>
                <w:sz w:val="16"/>
                <w:szCs w:val="16"/>
                <w:lang w:val="et-EE" w:eastAsia="et-EE"/>
              </w:rPr>
            </w:pPr>
            <w:r w:rsidRPr="007C4C4A">
              <w:rPr>
                <w:rFonts w:ascii="Arial" w:hAnsi="Arial" w:cs="Arial"/>
                <w:b/>
                <w:bCs/>
                <w:sz w:val="16"/>
                <w:szCs w:val="16"/>
                <w:lang w:val="et-EE" w:eastAsia="et-EE"/>
              </w:rPr>
              <w:t>Finantseerimistegevus</w:t>
            </w:r>
          </w:p>
        </w:tc>
        <w:tc>
          <w:tcPr>
            <w:tcW w:w="992" w:type="dxa"/>
            <w:tcBorders>
              <w:top w:val="nil"/>
              <w:left w:val="single" w:sz="4" w:space="0" w:color="auto"/>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226 744</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158 000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1 400 000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250 000</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100 000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0</w:t>
            </w:r>
          </w:p>
        </w:tc>
        <w:tc>
          <w:tcPr>
            <w:tcW w:w="992" w:type="dxa"/>
            <w:tcBorders>
              <w:top w:val="nil"/>
              <w:left w:val="nil"/>
              <w:bottom w:val="single" w:sz="4" w:space="0" w:color="000000"/>
              <w:right w:val="single" w:sz="8" w:space="0" w:color="000000"/>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-350 000</w:t>
            </w:r>
          </w:p>
        </w:tc>
      </w:tr>
      <w:tr w:rsidR="00794D47" w:rsidRPr="00794D47" w:rsidTr="007C4C4A">
        <w:trPr>
          <w:trHeight w:val="450"/>
        </w:trPr>
        <w:tc>
          <w:tcPr>
            <w:tcW w:w="2117" w:type="dxa"/>
            <w:tcBorders>
              <w:top w:val="nil"/>
              <w:left w:val="single" w:sz="8" w:space="0" w:color="000000"/>
              <w:bottom w:val="single" w:sz="4" w:space="0" w:color="000000"/>
              <w:right w:val="nil"/>
            </w:tcBorders>
            <w:shd w:val="clear" w:color="auto" w:fill="FFFFFF" w:themeFill="background1"/>
            <w:vAlign w:val="bottom"/>
            <w:hideMark/>
          </w:tcPr>
          <w:p w:rsidR="00794D47" w:rsidRPr="007C4C4A" w:rsidRDefault="00794D47" w:rsidP="00794D47">
            <w:pPr>
              <w:rPr>
                <w:rFonts w:ascii="Arial" w:hAnsi="Arial" w:cs="Arial"/>
                <w:b/>
                <w:bCs/>
                <w:sz w:val="16"/>
                <w:szCs w:val="16"/>
                <w:lang w:val="et-EE" w:eastAsia="et-EE"/>
              </w:rPr>
            </w:pPr>
            <w:r w:rsidRPr="007C4C4A">
              <w:rPr>
                <w:rFonts w:ascii="Arial" w:hAnsi="Arial" w:cs="Arial"/>
                <w:b/>
                <w:bCs/>
                <w:sz w:val="16"/>
                <w:szCs w:val="16"/>
                <w:lang w:val="et-EE" w:eastAsia="et-EE"/>
              </w:rPr>
              <w:t>Likviidsete varade muutus (+ suurenemine, - vähenemine)</w:t>
            </w:r>
          </w:p>
        </w:tc>
        <w:tc>
          <w:tcPr>
            <w:tcW w:w="992" w:type="dxa"/>
            <w:tcBorders>
              <w:top w:val="nil"/>
              <w:left w:val="single" w:sz="4" w:space="0" w:color="auto"/>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-337 885</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91 781</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-24 480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-54 990</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47 361</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38 427</w:t>
            </w:r>
          </w:p>
        </w:tc>
        <w:tc>
          <w:tcPr>
            <w:tcW w:w="992" w:type="dxa"/>
            <w:tcBorders>
              <w:top w:val="nil"/>
              <w:left w:val="nil"/>
              <w:bottom w:val="single" w:sz="4" w:space="0" w:color="000000"/>
              <w:right w:val="single" w:sz="8" w:space="0" w:color="000000"/>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-71 645</w:t>
            </w:r>
          </w:p>
        </w:tc>
      </w:tr>
      <w:tr w:rsidR="00794D47" w:rsidRPr="00794D47" w:rsidTr="007C4C4A">
        <w:trPr>
          <w:trHeight w:val="675"/>
        </w:trPr>
        <w:tc>
          <w:tcPr>
            <w:tcW w:w="2117" w:type="dxa"/>
            <w:tcBorders>
              <w:top w:val="nil"/>
              <w:left w:val="single" w:sz="8" w:space="0" w:color="000000"/>
              <w:bottom w:val="single" w:sz="4" w:space="0" w:color="000000"/>
              <w:right w:val="nil"/>
            </w:tcBorders>
            <w:shd w:val="clear" w:color="auto" w:fill="FFFFFF" w:themeFill="background1"/>
            <w:vAlign w:val="bottom"/>
            <w:hideMark/>
          </w:tcPr>
          <w:p w:rsidR="00794D47" w:rsidRPr="007C4C4A" w:rsidRDefault="00794D47" w:rsidP="00794D47">
            <w:pPr>
              <w:rPr>
                <w:rFonts w:ascii="Arial" w:hAnsi="Arial" w:cs="Arial"/>
                <w:b/>
                <w:bCs/>
                <w:sz w:val="16"/>
                <w:szCs w:val="16"/>
                <w:lang w:val="et-EE" w:eastAsia="et-EE"/>
              </w:rPr>
            </w:pPr>
            <w:r w:rsidRPr="007C4C4A">
              <w:rPr>
                <w:rFonts w:ascii="Arial" w:hAnsi="Arial" w:cs="Arial"/>
                <w:b/>
                <w:bCs/>
                <w:sz w:val="16"/>
                <w:szCs w:val="16"/>
                <w:lang w:val="et-EE" w:eastAsia="et-EE"/>
              </w:rPr>
              <w:t>Nõuete ja kohustuste saldode muutus (tekkepõhise e/a korral) (+/-)</w:t>
            </w:r>
          </w:p>
        </w:tc>
        <w:tc>
          <w:tcPr>
            <w:tcW w:w="992" w:type="dxa"/>
            <w:tcBorders>
              <w:top w:val="nil"/>
              <w:left w:val="single" w:sz="4" w:space="0" w:color="auto"/>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0</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0</w:t>
            </w:r>
          </w:p>
        </w:tc>
        <w:tc>
          <w:tcPr>
            <w:tcW w:w="992" w:type="dxa"/>
            <w:tcBorders>
              <w:top w:val="nil"/>
              <w:left w:val="nil"/>
              <w:bottom w:val="single" w:sz="4" w:space="0" w:color="000000"/>
              <w:right w:val="single" w:sz="8" w:space="0" w:color="000000"/>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0</w:t>
            </w:r>
          </w:p>
        </w:tc>
      </w:tr>
      <w:tr w:rsidR="00794D47" w:rsidRPr="00794D47" w:rsidTr="007C4C4A">
        <w:trPr>
          <w:trHeight w:val="225"/>
        </w:trPr>
        <w:tc>
          <w:tcPr>
            <w:tcW w:w="2117" w:type="dxa"/>
            <w:tcBorders>
              <w:top w:val="nil"/>
              <w:left w:val="single" w:sz="8" w:space="0" w:color="000000"/>
              <w:bottom w:val="single" w:sz="4" w:space="0" w:color="000000"/>
              <w:right w:val="nil"/>
            </w:tcBorders>
            <w:shd w:val="clear" w:color="auto" w:fill="FFFFFF" w:themeFill="background1"/>
            <w:noWrap/>
            <w:vAlign w:val="bottom"/>
            <w:hideMark/>
          </w:tcPr>
          <w:p w:rsidR="00794D47" w:rsidRPr="007C4C4A" w:rsidRDefault="00794D47" w:rsidP="00794D47">
            <w:pPr>
              <w:rPr>
                <w:rFonts w:ascii="Arial" w:hAnsi="Arial" w:cs="Arial"/>
                <w:sz w:val="16"/>
                <w:szCs w:val="16"/>
                <w:lang w:val="et-EE" w:eastAsia="et-EE"/>
              </w:rPr>
            </w:pPr>
            <w:r w:rsidRPr="007C4C4A">
              <w:rPr>
                <w:rFonts w:ascii="Arial" w:hAnsi="Arial" w:cs="Arial"/>
                <w:sz w:val="16"/>
                <w:szCs w:val="16"/>
                <w:lang w:val="et-EE" w:eastAsia="et-EE"/>
              </w:rPr>
              <w:t> </w:t>
            </w:r>
          </w:p>
        </w:tc>
        <w:tc>
          <w:tcPr>
            <w:tcW w:w="992"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794D47" w:rsidRPr="007C4C4A" w:rsidRDefault="00794D47" w:rsidP="00794D47">
            <w:pPr>
              <w:rPr>
                <w:rFonts w:ascii="Arial" w:hAnsi="Arial" w:cs="Arial"/>
                <w:sz w:val="16"/>
                <w:szCs w:val="16"/>
                <w:lang w:val="et-EE" w:eastAsia="et-EE"/>
              </w:rPr>
            </w:pPr>
            <w:r w:rsidRPr="007C4C4A">
              <w:rPr>
                <w:rFonts w:ascii="Arial" w:hAnsi="Arial" w:cs="Arial"/>
                <w:sz w:val="16"/>
                <w:szCs w:val="16"/>
                <w:lang w:val="et-EE" w:eastAsia="et-EE"/>
              </w:rPr>
              <w:t> </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794D47" w:rsidRPr="007C4C4A" w:rsidRDefault="00794D47" w:rsidP="00794D47">
            <w:pPr>
              <w:rPr>
                <w:rFonts w:ascii="Arial" w:hAnsi="Arial" w:cs="Arial"/>
                <w:sz w:val="16"/>
                <w:szCs w:val="16"/>
                <w:lang w:val="et-EE" w:eastAsia="et-EE"/>
              </w:rPr>
            </w:pPr>
            <w:r w:rsidRPr="007C4C4A">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94D47" w:rsidRPr="007C4C4A" w:rsidRDefault="00794D47" w:rsidP="00794D47">
            <w:pPr>
              <w:rPr>
                <w:rFonts w:ascii="Arial" w:hAnsi="Arial" w:cs="Arial"/>
                <w:sz w:val="16"/>
                <w:szCs w:val="16"/>
                <w:lang w:val="et-EE" w:eastAsia="et-EE"/>
              </w:rPr>
            </w:pPr>
            <w:r w:rsidRPr="007C4C4A">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94D47" w:rsidRPr="007C4C4A" w:rsidRDefault="00794D47" w:rsidP="00794D47">
            <w:pPr>
              <w:rPr>
                <w:rFonts w:ascii="Arial" w:hAnsi="Arial" w:cs="Arial"/>
                <w:sz w:val="16"/>
                <w:szCs w:val="16"/>
                <w:lang w:val="et-EE" w:eastAsia="et-EE"/>
              </w:rPr>
            </w:pPr>
            <w:r w:rsidRPr="007C4C4A">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794D47" w:rsidRPr="007C4C4A" w:rsidRDefault="00794D47" w:rsidP="00794D47">
            <w:pPr>
              <w:rPr>
                <w:rFonts w:ascii="Arial" w:hAnsi="Arial" w:cs="Arial"/>
                <w:sz w:val="16"/>
                <w:szCs w:val="16"/>
                <w:lang w:val="et-EE" w:eastAsia="et-EE"/>
              </w:rPr>
            </w:pPr>
            <w:r w:rsidRPr="007C4C4A">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94D47" w:rsidRPr="007C4C4A" w:rsidRDefault="00794D47" w:rsidP="00794D47">
            <w:pPr>
              <w:rPr>
                <w:rFonts w:ascii="Arial" w:hAnsi="Arial" w:cs="Arial"/>
                <w:sz w:val="16"/>
                <w:szCs w:val="16"/>
                <w:lang w:val="et-EE" w:eastAsia="et-EE"/>
              </w:rPr>
            </w:pPr>
            <w:r w:rsidRPr="007C4C4A">
              <w:rPr>
                <w:rFonts w:ascii="Arial" w:hAnsi="Arial" w:cs="Arial"/>
                <w:sz w:val="16"/>
                <w:szCs w:val="16"/>
                <w:lang w:val="et-EE" w:eastAsia="et-EE"/>
              </w:rPr>
              <w:t> </w:t>
            </w:r>
          </w:p>
        </w:tc>
        <w:tc>
          <w:tcPr>
            <w:tcW w:w="992" w:type="dxa"/>
            <w:tcBorders>
              <w:top w:val="nil"/>
              <w:left w:val="nil"/>
              <w:bottom w:val="single" w:sz="4" w:space="0" w:color="000000"/>
              <w:right w:val="single" w:sz="8" w:space="0" w:color="000000"/>
            </w:tcBorders>
            <w:shd w:val="clear" w:color="auto" w:fill="FFFFFF" w:themeFill="background1"/>
            <w:noWrap/>
            <w:vAlign w:val="bottom"/>
            <w:hideMark/>
          </w:tcPr>
          <w:p w:rsidR="00794D47" w:rsidRPr="007C4C4A" w:rsidRDefault="00794D47" w:rsidP="00794D47">
            <w:pPr>
              <w:rPr>
                <w:rFonts w:ascii="Arial" w:hAnsi="Arial" w:cs="Arial"/>
                <w:sz w:val="16"/>
                <w:szCs w:val="16"/>
                <w:lang w:val="et-EE" w:eastAsia="et-EE"/>
              </w:rPr>
            </w:pPr>
            <w:r w:rsidRPr="007C4C4A">
              <w:rPr>
                <w:rFonts w:ascii="Arial" w:hAnsi="Arial" w:cs="Arial"/>
                <w:sz w:val="16"/>
                <w:szCs w:val="16"/>
                <w:lang w:val="et-EE" w:eastAsia="et-EE"/>
              </w:rPr>
              <w:t> </w:t>
            </w:r>
          </w:p>
        </w:tc>
      </w:tr>
      <w:tr w:rsidR="00794D47" w:rsidRPr="00794D47" w:rsidTr="007C4C4A">
        <w:trPr>
          <w:trHeight w:val="450"/>
        </w:trPr>
        <w:tc>
          <w:tcPr>
            <w:tcW w:w="2117" w:type="dxa"/>
            <w:tcBorders>
              <w:top w:val="nil"/>
              <w:left w:val="single" w:sz="8" w:space="0" w:color="000000"/>
              <w:bottom w:val="single" w:sz="4" w:space="0" w:color="000000"/>
              <w:right w:val="nil"/>
            </w:tcBorders>
            <w:shd w:val="clear" w:color="auto" w:fill="FFFFFF" w:themeFill="background1"/>
            <w:vAlign w:val="bottom"/>
            <w:hideMark/>
          </w:tcPr>
          <w:p w:rsidR="00794D47" w:rsidRPr="007C4C4A" w:rsidRDefault="00794D47" w:rsidP="00794D47">
            <w:pPr>
              <w:rPr>
                <w:rFonts w:ascii="Arial" w:hAnsi="Arial" w:cs="Arial"/>
                <w:b/>
                <w:bCs/>
                <w:sz w:val="16"/>
                <w:szCs w:val="16"/>
                <w:lang w:val="et-EE" w:eastAsia="et-EE"/>
              </w:rPr>
            </w:pPr>
            <w:r w:rsidRPr="007C4C4A">
              <w:rPr>
                <w:rFonts w:ascii="Arial" w:hAnsi="Arial" w:cs="Arial"/>
                <w:b/>
                <w:bCs/>
                <w:sz w:val="16"/>
                <w:szCs w:val="16"/>
                <w:lang w:val="et-EE" w:eastAsia="et-EE"/>
              </w:rPr>
              <w:t>Likviidsete varade suunamata jääk aasta lõpuks</w:t>
            </w:r>
          </w:p>
        </w:tc>
        <w:tc>
          <w:tcPr>
            <w:tcW w:w="992" w:type="dxa"/>
            <w:tcBorders>
              <w:top w:val="nil"/>
              <w:left w:val="single" w:sz="4" w:space="0" w:color="auto"/>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328 254</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420 035</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395 555</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340 565</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387 926</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426 353</w:t>
            </w:r>
          </w:p>
        </w:tc>
        <w:tc>
          <w:tcPr>
            <w:tcW w:w="992" w:type="dxa"/>
            <w:tcBorders>
              <w:top w:val="nil"/>
              <w:left w:val="nil"/>
              <w:bottom w:val="single" w:sz="4" w:space="0" w:color="000000"/>
              <w:right w:val="single" w:sz="8" w:space="0" w:color="000000"/>
            </w:tcBorders>
            <w:shd w:val="clear" w:color="auto" w:fill="FFFFFF" w:themeFill="background1"/>
            <w:noWrap/>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354 708</w:t>
            </w:r>
          </w:p>
        </w:tc>
      </w:tr>
      <w:tr w:rsidR="00794D47" w:rsidRPr="00794D47" w:rsidTr="007C4C4A">
        <w:trPr>
          <w:trHeight w:val="450"/>
        </w:trPr>
        <w:tc>
          <w:tcPr>
            <w:tcW w:w="2117" w:type="dxa"/>
            <w:tcBorders>
              <w:top w:val="nil"/>
              <w:left w:val="single" w:sz="8" w:space="0" w:color="000000"/>
              <w:bottom w:val="single" w:sz="4" w:space="0" w:color="000000"/>
              <w:right w:val="nil"/>
            </w:tcBorders>
            <w:shd w:val="clear" w:color="auto" w:fill="FFFFFF" w:themeFill="background1"/>
            <w:hideMark/>
          </w:tcPr>
          <w:p w:rsidR="00794D47" w:rsidRPr="007C4C4A" w:rsidRDefault="00794D47" w:rsidP="00794D47">
            <w:pPr>
              <w:rPr>
                <w:rFonts w:ascii="Arial" w:hAnsi="Arial" w:cs="Arial"/>
                <w:b/>
                <w:bCs/>
                <w:sz w:val="16"/>
                <w:szCs w:val="16"/>
                <w:lang w:val="et-EE" w:eastAsia="et-EE"/>
              </w:rPr>
            </w:pPr>
            <w:r w:rsidRPr="007C4C4A">
              <w:rPr>
                <w:rFonts w:ascii="Arial" w:hAnsi="Arial" w:cs="Arial"/>
                <w:b/>
                <w:bCs/>
                <w:sz w:val="16"/>
                <w:szCs w:val="16"/>
                <w:lang w:val="et-EE" w:eastAsia="et-EE"/>
              </w:rPr>
              <w:t>Võlakohustused kokku aasta lõpu seisuga</w:t>
            </w:r>
          </w:p>
        </w:tc>
        <w:tc>
          <w:tcPr>
            <w:tcW w:w="992" w:type="dxa"/>
            <w:tcBorders>
              <w:top w:val="nil"/>
              <w:left w:val="single" w:sz="4" w:space="0" w:color="auto"/>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1 293 045</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1 451 045</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2 851 045</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3 101 045</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3 201 045</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3 201 045</w:t>
            </w:r>
          </w:p>
        </w:tc>
        <w:tc>
          <w:tcPr>
            <w:tcW w:w="992" w:type="dxa"/>
            <w:tcBorders>
              <w:top w:val="nil"/>
              <w:left w:val="nil"/>
              <w:bottom w:val="single" w:sz="4" w:space="0" w:color="000000"/>
              <w:right w:val="single" w:sz="8" w:space="0" w:color="000000"/>
            </w:tcBorders>
            <w:shd w:val="clear" w:color="auto" w:fill="FFFFFF" w:themeFill="background1"/>
            <w:vAlign w:val="bottom"/>
            <w:hideMark/>
          </w:tcPr>
          <w:p w:rsidR="00794D47" w:rsidRPr="007C4C4A" w:rsidRDefault="00794D47" w:rsidP="00794D47">
            <w:pPr>
              <w:jc w:val="right"/>
              <w:rPr>
                <w:rFonts w:ascii="Arial" w:hAnsi="Arial" w:cs="Arial"/>
                <w:b/>
                <w:bCs/>
                <w:sz w:val="16"/>
                <w:szCs w:val="16"/>
                <w:lang w:val="et-EE" w:eastAsia="et-EE"/>
              </w:rPr>
            </w:pPr>
            <w:r w:rsidRPr="007C4C4A">
              <w:rPr>
                <w:rFonts w:ascii="Arial" w:hAnsi="Arial" w:cs="Arial"/>
                <w:b/>
                <w:bCs/>
                <w:sz w:val="16"/>
                <w:szCs w:val="16"/>
                <w:lang w:val="et-EE" w:eastAsia="et-EE"/>
              </w:rPr>
              <w:t>2 851 045</w:t>
            </w:r>
          </w:p>
        </w:tc>
      </w:tr>
      <w:tr w:rsidR="00794D47" w:rsidRPr="00794D47" w:rsidTr="007C4C4A">
        <w:trPr>
          <w:trHeight w:val="675"/>
        </w:trPr>
        <w:tc>
          <w:tcPr>
            <w:tcW w:w="2117" w:type="dxa"/>
            <w:tcBorders>
              <w:top w:val="nil"/>
              <w:left w:val="single" w:sz="8" w:space="0" w:color="000000"/>
              <w:bottom w:val="single" w:sz="4" w:space="0" w:color="000000"/>
              <w:right w:val="nil"/>
            </w:tcBorders>
            <w:shd w:val="clear" w:color="auto" w:fill="FFFFFF" w:themeFill="background1"/>
            <w:hideMark/>
          </w:tcPr>
          <w:p w:rsidR="00794D47" w:rsidRPr="007C4C4A" w:rsidRDefault="00794D47" w:rsidP="00794D47">
            <w:pPr>
              <w:rPr>
                <w:rFonts w:ascii="Arial" w:hAnsi="Arial" w:cs="Arial"/>
                <w:sz w:val="16"/>
                <w:szCs w:val="16"/>
                <w:lang w:val="et-EE" w:eastAsia="et-EE"/>
              </w:rPr>
            </w:pPr>
            <w:r w:rsidRPr="007C4C4A">
              <w:rPr>
                <w:rFonts w:ascii="Arial" w:hAnsi="Arial" w:cs="Arial"/>
                <w:sz w:val="16"/>
                <w:szCs w:val="16"/>
                <w:lang w:val="et-EE" w:eastAsia="et-EE"/>
              </w:rPr>
              <w:t xml:space="preserve">    sh kohustused, mille võrra võib ületada netovõlakoormuse piirmäära (arvestusüksuse väline)</w:t>
            </w:r>
          </w:p>
        </w:tc>
        <w:tc>
          <w:tcPr>
            <w:tcW w:w="992" w:type="dxa"/>
            <w:tcBorders>
              <w:top w:val="nil"/>
              <w:left w:val="single" w:sz="4" w:space="0" w:color="auto"/>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0</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0</w:t>
            </w:r>
          </w:p>
        </w:tc>
        <w:tc>
          <w:tcPr>
            <w:tcW w:w="992" w:type="dxa"/>
            <w:tcBorders>
              <w:top w:val="nil"/>
              <w:left w:val="nil"/>
              <w:bottom w:val="single" w:sz="4" w:space="0" w:color="000000"/>
              <w:right w:val="single" w:sz="8" w:space="0" w:color="000000"/>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0</w:t>
            </w:r>
          </w:p>
        </w:tc>
      </w:tr>
      <w:tr w:rsidR="00794D47" w:rsidRPr="00794D47" w:rsidTr="007C4C4A">
        <w:trPr>
          <w:trHeight w:val="225"/>
        </w:trPr>
        <w:tc>
          <w:tcPr>
            <w:tcW w:w="2117" w:type="dxa"/>
            <w:tcBorders>
              <w:top w:val="nil"/>
              <w:left w:val="single" w:sz="8" w:space="0" w:color="000000"/>
              <w:bottom w:val="single" w:sz="4" w:space="0" w:color="000000"/>
              <w:right w:val="nil"/>
            </w:tcBorders>
            <w:shd w:val="clear" w:color="auto" w:fill="FFFFFF" w:themeFill="background1"/>
            <w:vAlign w:val="bottom"/>
            <w:hideMark/>
          </w:tcPr>
          <w:p w:rsidR="00794D47" w:rsidRPr="007C4C4A" w:rsidRDefault="00794D47" w:rsidP="00794D47">
            <w:pPr>
              <w:rPr>
                <w:rFonts w:ascii="Arial" w:hAnsi="Arial" w:cs="Arial"/>
                <w:b/>
                <w:bCs/>
                <w:sz w:val="16"/>
                <w:szCs w:val="16"/>
                <w:lang w:val="et-EE" w:eastAsia="et-EE"/>
              </w:rPr>
            </w:pPr>
            <w:r w:rsidRPr="007C4C4A">
              <w:rPr>
                <w:rFonts w:ascii="Arial" w:hAnsi="Arial" w:cs="Arial"/>
                <w:b/>
                <w:bCs/>
                <w:sz w:val="16"/>
                <w:szCs w:val="16"/>
                <w:lang w:val="et-EE" w:eastAsia="et-EE"/>
              </w:rPr>
              <w:t>Netovõlakoormus (eurodes)</w:t>
            </w:r>
          </w:p>
        </w:tc>
        <w:tc>
          <w:tcPr>
            <w:tcW w:w="992" w:type="dxa"/>
            <w:tcBorders>
              <w:top w:val="nil"/>
              <w:left w:val="single" w:sz="4" w:space="0" w:color="auto"/>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964 791</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1 031 010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2 455 490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2 760 480</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2 813 119</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2 774 692</w:t>
            </w:r>
          </w:p>
        </w:tc>
        <w:tc>
          <w:tcPr>
            <w:tcW w:w="992" w:type="dxa"/>
            <w:tcBorders>
              <w:top w:val="nil"/>
              <w:left w:val="nil"/>
              <w:bottom w:val="single" w:sz="4" w:space="0" w:color="000000"/>
              <w:right w:val="single" w:sz="8" w:space="0" w:color="000000"/>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2 496 337</w:t>
            </w:r>
          </w:p>
        </w:tc>
      </w:tr>
      <w:tr w:rsidR="00794D47" w:rsidRPr="00794D47" w:rsidTr="007C4C4A">
        <w:trPr>
          <w:trHeight w:val="225"/>
        </w:trPr>
        <w:tc>
          <w:tcPr>
            <w:tcW w:w="2117" w:type="dxa"/>
            <w:tcBorders>
              <w:top w:val="nil"/>
              <w:left w:val="single" w:sz="8" w:space="0" w:color="000000"/>
              <w:bottom w:val="single" w:sz="4" w:space="0" w:color="000000"/>
              <w:right w:val="nil"/>
            </w:tcBorders>
            <w:shd w:val="clear" w:color="auto" w:fill="FFFFFF" w:themeFill="background1"/>
            <w:vAlign w:val="bottom"/>
            <w:hideMark/>
          </w:tcPr>
          <w:p w:rsidR="00794D47" w:rsidRPr="007C4C4A" w:rsidRDefault="00794D47" w:rsidP="00794D47">
            <w:pPr>
              <w:rPr>
                <w:rFonts w:ascii="Arial" w:hAnsi="Arial" w:cs="Arial"/>
                <w:b/>
                <w:bCs/>
                <w:sz w:val="16"/>
                <w:szCs w:val="16"/>
                <w:lang w:val="et-EE" w:eastAsia="et-EE"/>
              </w:rPr>
            </w:pPr>
            <w:r w:rsidRPr="007C4C4A">
              <w:rPr>
                <w:rFonts w:ascii="Arial" w:hAnsi="Arial" w:cs="Arial"/>
                <w:b/>
                <w:bCs/>
                <w:sz w:val="16"/>
                <w:szCs w:val="16"/>
                <w:lang w:val="et-EE" w:eastAsia="et-EE"/>
              </w:rPr>
              <w:t>Netovõlakoormus (%)</w:t>
            </w:r>
          </w:p>
        </w:tc>
        <w:tc>
          <w:tcPr>
            <w:tcW w:w="992" w:type="dxa"/>
            <w:tcBorders>
              <w:top w:val="nil"/>
              <w:left w:val="single" w:sz="4" w:space="0" w:color="auto"/>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12,6%</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12,5%</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29,0%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32,6%</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32,7%</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31,7%</w:t>
            </w:r>
          </w:p>
        </w:tc>
        <w:tc>
          <w:tcPr>
            <w:tcW w:w="992" w:type="dxa"/>
            <w:tcBorders>
              <w:top w:val="nil"/>
              <w:left w:val="nil"/>
              <w:bottom w:val="single" w:sz="4" w:space="0" w:color="000000"/>
              <w:right w:val="single" w:sz="8" w:space="0" w:color="000000"/>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28,1%</w:t>
            </w:r>
          </w:p>
        </w:tc>
      </w:tr>
      <w:tr w:rsidR="00794D47" w:rsidRPr="00794D47" w:rsidTr="007C4C4A">
        <w:trPr>
          <w:trHeight w:val="450"/>
        </w:trPr>
        <w:tc>
          <w:tcPr>
            <w:tcW w:w="2117" w:type="dxa"/>
            <w:tcBorders>
              <w:top w:val="nil"/>
              <w:left w:val="single" w:sz="8" w:space="0" w:color="000000"/>
              <w:bottom w:val="single" w:sz="4" w:space="0" w:color="000000"/>
              <w:right w:val="nil"/>
            </w:tcBorders>
            <w:shd w:val="clear" w:color="auto" w:fill="FFFFFF" w:themeFill="background1"/>
            <w:vAlign w:val="bottom"/>
            <w:hideMark/>
          </w:tcPr>
          <w:p w:rsidR="00794D47" w:rsidRPr="007C4C4A" w:rsidRDefault="00794D47" w:rsidP="00794D47">
            <w:pPr>
              <w:rPr>
                <w:rFonts w:ascii="Arial" w:hAnsi="Arial" w:cs="Arial"/>
                <w:b/>
                <w:bCs/>
                <w:sz w:val="16"/>
                <w:szCs w:val="16"/>
                <w:lang w:val="et-EE" w:eastAsia="et-EE"/>
              </w:rPr>
            </w:pPr>
            <w:r w:rsidRPr="007C4C4A">
              <w:rPr>
                <w:rFonts w:ascii="Arial" w:hAnsi="Arial" w:cs="Arial"/>
                <w:b/>
                <w:bCs/>
                <w:sz w:val="16"/>
                <w:szCs w:val="16"/>
                <w:lang w:val="et-EE" w:eastAsia="et-EE"/>
              </w:rPr>
              <w:t>Netovõlakoormuse ülemmäär (eurodes)</w:t>
            </w:r>
          </w:p>
        </w:tc>
        <w:tc>
          <w:tcPr>
            <w:tcW w:w="992" w:type="dxa"/>
            <w:tcBorders>
              <w:top w:val="nil"/>
              <w:left w:val="single" w:sz="4" w:space="0" w:color="auto"/>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4 578 791</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4 964 486</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5 087 605</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5 075 502</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5 164 567</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5 249 977</w:t>
            </w:r>
          </w:p>
        </w:tc>
        <w:tc>
          <w:tcPr>
            <w:tcW w:w="992" w:type="dxa"/>
            <w:tcBorders>
              <w:top w:val="nil"/>
              <w:left w:val="nil"/>
              <w:bottom w:val="single" w:sz="4" w:space="0" w:color="000000"/>
              <w:right w:val="single" w:sz="8" w:space="0" w:color="000000"/>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5 333 013</w:t>
            </w:r>
          </w:p>
        </w:tc>
      </w:tr>
      <w:tr w:rsidR="00794D47" w:rsidRPr="00794D47" w:rsidTr="007C4C4A">
        <w:trPr>
          <w:trHeight w:val="225"/>
        </w:trPr>
        <w:tc>
          <w:tcPr>
            <w:tcW w:w="2117" w:type="dxa"/>
            <w:tcBorders>
              <w:top w:val="nil"/>
              <w:left w:val="single" w:sz="8" w:space="0" w:color="000000"/>
              <w:bottom w:val="single" w:sz="4" w:space="0" w:color="000000"/>
              <w:right w:val="nil"/>
            </w:tcBorders>
            <w:shd w:val="clear" w:color="auto" w:fill="FFFFFF" w:themeFill="background1"/>
            <w:vAlign w:val="bottom"/>
            <w:hideMark/>
          </w:tcPr>
          <w:p w:rsidR="00794D47" w:rsidRPr="007C4C4A" w:rsidRDefault="00794D47" w:rsidP="00794D47">
            <w:pPr>
              <w:rPr>
                <w:rFonts w:ascii="Arial" w:hAnsi="Arial" w:cs="Arial"/>
                <w:b/>
                <w:bCs/>
                <w:sz w:val="16"/>
                <w:szCs w:val="16"/>
                <w:lang w:val="et-EE" w:eastAsia="et-EE"/>
              </w:rPr>
            </w:pPr>
            <w:r w:rsidRPr="007C4C4A">
              <w:rPr>
                <w:rFonts w:ascii="Arial" w:hAnsi="Arial" w:cs="Arial"/>
                <w:b/>
                <w:bCs/>
                <w:sz w:val="16"/>
                <w:szCs w:val="16"/>
                <w:lang w:val="et-EE" w:eastAsia="et-EE"/>
              </w:rPr>
              <w:t>Netovõlakoormuse ülemmäär (%)</w:t>
            </w:r>
          </w:p>
        </w:tc>
        <w:tc>
          <w:tcPr>
            <w:tcW w:w="992" w:type="dxa"/>
            <w:tcBorders>
              <w:top w:val="nil"/>
              <w:left w:val="single" w:sz="4" w:space="0" w:color="auto"/>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60,0%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60,0%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60,0%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60,0%</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60,0%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60,0%</w:t>
            </w:r>
          </w:p>
        </w:tc>
        <w:tc>
          <w:tcPr>
            <w:tcW w:w="992" w:type="dxa"/>
            <w:tcBorders>
              <w:top w:val="nil"/>
              <w:left w:val="nil"/>
              <w:bottom w:val="single" w:sz="4" w:space="0" w:color="000000"/>
              <w:right w:val="single" w:sz="8" w:space="0" w:color="000000"/>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60,0%</w:t>
            </w:r>
          </w:p>
        </w:tc>
      </w:tr>
      <w:tr w:rsidR="00794D47" w:rsidRPr="00794D47" w:rsidTr="007C4C4A">
        <w:trPr>
          <w:trHeight w:val="240"/>
        </w:trPr>
        <w:tc>
          <w:tcPr>
            <w:tcW w:w="2117" w:type="dxa"/>
            <w:tcBorders>
              <w:top w:val="nil"/>
              <w:left w:val="single" w:sz="8" w:space="0" w:color="000000"/>
              <w:bottom w:val="single" w:sz="8" w:space="0" w:color="000000"/>
              <w:right w:val="single" w:sz="4" w:space="0" w:color="000000"/>
            </w:tcBorders>
            <w:shd w:val="clear" w:color="auto" w:fill="FFFFFF" w:themeFill="background1"/>
            <w:vAlign w:val="bottom"/>
            <w:hideMark/>
          </w:tcPr>
          <w:p w:rsidR="00794D47" w:rsidRPr="007C4C4A" w:rsidRDefault="00794D47" w:rsidP="00794D47">
            <w:pPr>
              <w:rPr>
                <w:rFonts w:ascii="Arial" w:hAnsi="Arial" w:cs="Arial"/>
                <w:b/>
                <w:bCs/>
                <w:sz w:val="16"/>
                <w:szCs w:val="16"/>
                <w:lang w:val="et-EE" w:eastAsia="et-EE"/>
              </w:rPr>
            </w:pPr>
            <w:r w:rsidRPr="007C4C4A">
              <w:rPr>
                <w:rFonts w:ascii="Arial" w:hAnsi="Arial" w:cs="Arial"/>
                <w:b/>
                <w:bCs/>
                <w:sz w:val="16"/>
                <w:szCs w:val="16"/>
                <w:lang w:val="et-EE" w:eastAsia="et-EE"/>
              </w:rPr>
              <w:t>Vaba netovõlakoormus (eurodes)</w:t>
            </w:r>
          </w:p>
        </w:tc>
        <w:tc>
          <w:tcPr>
            <w:tcW w:w="992" w:type="dxa"/>
            <w:tcBorders>
              <w:top w:val="nil"/>
              <w:left w:val="nil"/>
              <w:bottom w:val="single" w:sz="8" w:space="0" w:color="000000"/>
              <w:right w:val="single" w:sz="4" w:space="0" w:color="000000"/>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3 614 000</w:t>
            </w:r>
          </w:p>
        </w:tc>
        <w:tc>
          <w:tcPr>
            <w:tcW w:w="1134" w:type="dxa"/>
            <w:tcBorders>
              <w:top w:val="nil"/>
              <w:left w:val="nil"/>
              <w:bottom w:val="single" w:sz="8" w:space="0" w:color="000000"/>
              <w:right w:val="single" w:sz="4" w:space="0" w:color="000000"/>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3 933 476</w:t>
            </w:r>
          </w:p>
        </w:tc>
        <w:tc>
          <w:tcPr>
            <w:tcW w:w="992" w:type="dxa"/>
            <w:tcBorders>
              <w:top w:val="nil"/>
              <w:left w:val="nil"/>
              <w:bottom w:val="single" w:sz="8" w:space="0" w:color="000000"/>
              <w:right w:val="single" w:sz="4" w:space="0" w:color="000000"/>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2 632 115</w:t>
            </w:r>
          </w:p>
        </w:tc>
        <w:tc>
          <w:tcPr>
            <w:tcW w:w="992" w:type="dxa"/>
            <w:tcBorders>
              <w:top w:val="nil"/>
              <w:left w:val="nil"/>
              <w:bottom w:val="single" w:sz="8" w:space="0" w:color="000000"/>
              <w:right w:val="single" w:sz="4" w:space="0" w:color="000000"/>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2 315 022</w:t>
            </w:r>
          </w:p>
        </w:tc>
        <w:tc>
          <w:tcPr>
            <w:tcW w:w="993" w:type="dxa"/>
            <w:tcBorders>
              <w:top w:val="nil"/>
              <w:left w:val="nil"/>
              <w:bottom w:val="single" w:sz="8" w:space="0" w:color="000000"/>
              <w:right w:val="single" w:sz="4" w:space="0" w:color="000000"/>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2 351 448</w:t>
            </w:r>
          </w:p>
        </w:tc>
        <w:tc>
          <w:tcPr>
            <w:tcW w:w="992" w:type="dxa"/>
            <w:tcBorders>
              <w:top w:val="nil"/>
              <w:left w:val="nil"/>
              <w:bottom w:val="single" w:sz="8" w:space="0" w:color="000000"/>
              <w:right w:val="single" w:sz="8" w:space="0" w:color="000000"/>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2 475 285</w:t>
            </w:r>
          </w:p>
        </w:tc>
        <w:tc>
          <w:tcPr>
            <w:tcW w:w="992" w:type="dxa"/>
            <w:tcBorders>
              <w:top w:val="nil"/>
              <w:left w:val="single" w:sz="4" w:space="0" w:color="000000"/>
              <w:bottom w:val="single" w:sz="8" w:space="0" w:color="000000"/>
              <w:right w:val="single" w:sz="8" w:space="0" w:color="000000"/>
            </w:tcBorders>
            <w:shd w:val="clear" w:color="auto" w:fill="FFFFFF" w:themeFill="background1"/>
            <w:vAlign w:val="bottom"/>
            <w:hideMark/>
          </w:tcPr>
          <w:p w:rsidR="00794D47" w:rsidRPr="007C4C4A" w:rsidRDefault="00794D47" w:rsidP="00794D47">
            <w:pPr>
              <w:jc w:val="right"/>
              <w:rPr>
                <w:rFonts w:ascii="Arial" w:hAnsi="Arial" w:cs="Arial"/>
                <w:sz w:val="16"/>
                <w:szCs w:val="16"/>
                <w:lang w:val="et-EE" w:eastAsia="et-EE"/>
              </w:rPr>
            </w:pPr>
            <w:r w:rsidRPr="007C4C4A">
              <w:rPr>
                <w:rFonts w:ascii="Arial" w:hAnsi="Arial" w:cs="Arial"/>
                <w:sz w:val="16"/>
                <w:szCs w:val="16"/>
                <w:lang w:val="et-EE" w:eastAsia="et-EE"/>
              </w:rPr>
              <w:t>2 836 676</w:t>
            </w:r>
          </w:p>
        </w:tc>
      </w:tr>
    </w:tbl>
    <w:p w:rsidR="00794D47" w:rsidRPr="008513EC" w:rsidRDefault="00794D47" w:rsidP="008513EC">
      <w:pPr>
        <w:rPr>
          <w:rFonts w:ascii="Trebuchet MS" w:hAnsi="Trebuchet MS"/>
          <w:b/>
          <w:lang w:val="es-ES"/>
        </w:rPr>
      </w:pPr>
    </w:p>
    <w:p w:rsidR="008513EC" w:rsidRPr="00BA1430" w:rsidRDefault="003A1D20" w:rsidP="008513EC">
      <w:pPr>
        <w:jc w:val="both"/>
        <w:rPr>
          <w:sz w:val="20"/>
          <w:szCs w:val="20"/>
          <w:lang w:val="et-EE"/>
        </w:rPr>
      </w:pPr>
      <w:r w:rsidRPr="00BA1430">
        <w:rPr>
          <w:b/>
          <w:sz w:val="20"/>
          <w:szCs w:val="20"/>
          <w:lang w:val="et-EE"/>
        </w:rPr>
        <w:t>Tabel 12. Viru-Nigula valla ja temast sõltuvate üksuste arvnäitajad.</w:t>
      </w:r>
    </w:p>
    <w:p w:rsidR="003A1D20" w:rsidRPr="00BA1430" w:rsidRDefault="003A1D20" w:rsidP="008513EC">
      <w:pPr>
        <w:jc w:val="both"/>
        <w:rPr>
          <w:sz w:val="20"/>
          <w:szCs w:val="20"/>
          <w:lang w:val="et-EE"/>
        </w:rPr>
      </w:pPr>
    </w:p>
    <w:p w:rsidR="00924C20" w:rsidRPr="00BA1430" w:rsidRDefault="008513EC" w:rsidP="00824BA0">
      <w:pPr>
        <w:spacing w:line="276" w:lineRule="auto"/>
        <w:jc w:val="both"/>
        <w:rPr>
          <w:lang w:val="et-EE"/>
        </w:rPr>
      </w:pPr>
      <w:r w:rsidRPr="00DE4A36">
        <w:rPr>
          <w:b/>
          <w:lang w:val="et-EE"/>
        </w:rPr>
        <w:t>Viru-Nigula v</w:t>
      </w:r>
      <w:r w:rsidR="00924C20" w:rsidRPr="00DE4A36">
        <w:rPr>
          <w:b/>
          <w:lang w:val="et-EE"/>
        </w:rPr>
        <w:t xml:space="preserve">alla eelarvestrateegiasse </w:t>
      </w:r>
      <w:r w:rsidRPr="00DE4A36">
        <w:rPr>
          <w:b/>
          <w:lang w:val="et-EE"/>
        </w:rPr>
        <w:t xml:space="preserve">ei konsolideeru </w:t>
      </w:r>
      <w:r w:rsidR="00924C20" w:rsidRPr="00DE4A36">
        <w:rPr>
          <w:b/>
          <w:lang w:val="et-EE"/>
        </w:rPr>
        <w:t>ühtegi vall</w:t>
      </w:r>
      <w:r w:rsidR="00484A67" w:rsidRPr="00DE4A36">
        <w:rPr>
          <w:b/>
          <w:lang w:val="et-EE"/>
        </w:rPr>
        <w:t>ale kuuluvat sõltuvat üksust (nn tütarettevõtet)</w:t>
      </w:r>
      <w:r w:rsidR="00924C20" w:rsidRPr="00DE4A36">
        <w:rPr>
          <w:b/>
          <w:lang w:val="et-EE"/>
        </w:rPr>
        <w:t>.</w:t>
      </w:r>
      <w:r w:rsidR="00924C20" w:rsidRPr="00BA1430">
        <w:rPr>
          <w:lang w:val="et-EE"/>
        </w:rPr>
        <w:t xml:space="preserve"> </w:t>
      </w:r>
      <w:r w:rsidR="00DE4A36">
        <w:rPr>
          <w:lang w:val="et-EE"/>
        </w:rPr>
        <w:t xml:space="preserve"> </w:t>
      </w:r>
      <w:r w:rsidR="00924C20" w:rsidRPr="00BA1430">
        <w:rPr>
          <w:lang w:val="et-EE"/>
        </w:rPr>
        <w:t xml:space="preserve">Seega </w:t>
      </w:r>
      <w:r w:rsidR="00FE71BE" w:rsidRPr="00BA1430">
        <w:rPr>
          <w:lang w:val="et-EE"/>
        </w:rPr>
        <w:t xml:space="preserve">on tabelis </w:t>
      </w:r>
      <w:r w:rsidR="00484A67" w:rsidRPr="00BA1430">
        <w:rPr>
          <w:lang w:val="et-EE"/>
        </w:rPr>
        <w:t>summad ja protsendid identsed</w:t>
      </w:r>
      <w:r w:rsidR="00924C20" w:rsidRPr="00BA1430">
        <w:rPr>
          <w:lang w:val="et-EE"/>
        </w:rPr>
        <w:t xml:space="preserve"> valla </w:t>
      </w:r>
      <w:r w:rsidR="00794D47">
        <w:rPr>
          <w:lang w:val="et-EE"/>
        </w:rPr>
        <w:t xml:space="preserve">(arvestusüksuse) </w:t>
      </w:r>
      <w:r w:rsidR="00924C20" w:rsidRPr="00BA1430">
        <w:rPr>
          <w:lang w:val="et-EE"/>
        </w:rPr>
        <w:t>eelarvestrateegia osaga.</w:t>
      </w:r>
    </w:p>
    <w:p w:rsidR="00893577" w:rsidRPr="006B14A4" w:rsidRDefault="00893577" w:rsidP="008513EC">
      <w:pPr>
        <w:jc w:val="both"/>
        <w:rPr>
          <w:rFonts w:ascii="Trebuchet MS" w:hAnsi="Trebuchet MS"/>
          <w:lang w:val="et-EE"/>
        </w:rPr>
      </w:pPr>
    </w:p>
    <w:p w:rsidR="00776A01" w:rsidRDefault="00776A01" w:rsidP="00266607">
      <w:pPr>
        <w:pStyle w:val="Pealkiri1"/>
        <w:rPr>
          <w:color w:val="auto"/>
          <w:sz w:val="28"/>
        </w:rPr>
      </w:pPr>
    </w:p>
    <w:p w:rsidR="008513EC" w:rsidRPr="00BA1430" w:rsidRDefault="00A97DB4" w:rsidP="00266607">
      <w:pPr>
        <w:pStyle w:val="Pealkiri1"/>
        <w:rPr>
          <w:color w:val="auto"/>
          <w:sz w:val="28"/>
        </w:rPr>
      </w:pPr>
      <w:bookmarkStart w:id="19" w:name="_Toc521395305"/>
      <w:r w:rsidRPr="00BA1430">
        <w:rPr>
          <w:color w:val="auto"/>
          <w:sz w:val="28"/>
        </w:rPr>
        <w:t>6. Arvestusüksuse põhitegevuse tulem</w:t>
      </w:r>
      <w:bookmarkEnd w:id="19"/>
      <w:r w:rsidRPr="00BA1430">
        <w:rPr>
          <w:color w:val="auto"/>
          <w:sz w:val="28"/>
        </w:rPr>
        <w:t xml:space="preserve"> </w:t>
      </w:r>
    </w:p>
    <w:p w:rsidR="008513EC" w:rsidRPr="00E95D36" w:rsidRDefault="008513EC" w:rsidP="008513EC">
      <w:pPr>
        <w:rPr>
          <w:rFonts w:ascii="Trebuchet MS" w:hAnsi="Trebuchet MS"/>
          <w:b/>
          <w:lang w:val="et-EE"/>
        </w:rPr>
      </w:pPr>
    </w:p>
    <w:p w:rsidR="00266607" w:rsidRPr="00BA1430" w:rsidRDefault="00266607" w:rsidP="008513EC">
      <w:pPr>
        <w:rPr>
          <w:lang w:val="et-EE"/>
        </w:rPr>
      </w:pPr>
      <w:r w:rsidRPr="00BA1430">
        <w:rPr>
          <w:lang w:val="et-EE"/>
        </w:rPr>
        <w:t>Viru-Nigula valla põhitegevuse tulemi prognoos on esitatud tabelis 13.</w:t>
      </w:r>
    </w:p>
    <w:p w:rsidR="00924C20" w:rsidRDefault="00924C20" w:rsidP="008513EC">
      <w:pPr>
        <w:rPr>
          <w:rFonts w:ascii="Trebuchet MS" w:hAnsi="Trebuchet MS"/>
          <w:b/>
          <w:lang w:val="et-EE"/>
        </w:rPr>
      </w:pPr>
    </w:p>
    <w:tbl>
      <w:tblPr>
        <w:tblW w:w="9067" w:type="dxa"/>
        <w:tblCellMar>
          <w:left w:w="70" w:type="dxa"/>
          <w:right w:w="70" w:type="dxa"/>
        </w:tblCellMar>
        <w:tblLook w:val="04A0" w:firstRow="1" w:lastRow="0" w:firstColumn="1" w:lastColumn="0" w:noHBand="0" w:noVBand="1"/>
      </w:tblPr>
      <w:tblGrid>
        <w:gridCol w:w="1838"/>
        <w:gridCol w:w="1134"/>
        <w:gridCol w:w="1134"/>
        <w:gridCol w:w="992"/>
        <w:gridCol w:w="993"/>
        <w:gridCol w:w="992"/>
        <w:gridCol w:w="992"/>
        <w:gridCol w:w="992"/>
      </w:tblGrid>
      <w:tr w:rsidR="00DE4A36" w:rsidRPr="00DE4A36" w:rsidTr="00341EE2">
        <w:trPr>
          <w:trHeight w:val="675"/>
        </w:trPr>
        <w:tc>
          <w:tcPr>
            <w:tcW w:w="183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bottom"/>
            <w:hideMark/>
          </w:tcPr>
          <w:p w:rsidR="00DE4A36" w:rsidRPr="00DE4A36" w:rsidRDefault="00DE4A36" w:rsidP="00DE4A36">
            <w:pPr>
              <w:rPr>
                <w:rFonts w:ascii="Arial" w:hAnsi="Arial" w:cs="Arial"/>
                <w:sz w:val="16"/>
                <w:szCs w:val="16"/>
                <w:lang w:val="et-EE" w:eastAsia="et-EE"/>
              </w:rPr>
            </w:pPr>
            <w:r w:rsidRPr="00DE4A36">
              <w:rPr>
                <w:rFonts w:ascii="Arial" w:hAnsi="Arial" w:cs="Arial"/>
                <w:sz w:val="16"/>
                <w:szCs w:val="16"/>
                <w:lang w:val="et-EE" w:eastAsia="et-EE"/>
              </w:rPr>
              <w:t>eelarveosa</w:t>
            </w:r>
          </w:p>
        </w:tc>
        <w:tc>
          <w:tcPr>
            <w:tcW w:w="1134" w:type="dxa"/>
            <w:tcBorders>
              <w:top w:val="single" w:sz="4" w:space="0" w:color="000000"/>
              <w:left w:val="nil"/>
              <w:bottom w:val="single" w:sz="4" w:space="0" w:color="000000"/>
              <w:right w:val="single" w:sz="4" w:space="0" w:color="000000"/>
            </w:tcBorders>
            <w:shd w:val="clear" w:color="auto" w:fill="D6E3BC" w:themeFill="accent3" w:themeFillTint="66"/>
            <w:vAlign w:val="bottom"/>
            <w:hideMark/>
          </w:tcPr>
          <w:p w:rsidR="00DE4A36" w:rsidRPr="00DE4A36" w:rsidRDefault="00DE4A36" w:rsidP="00DE4A36">
            <w:pPr>
              <w:jc w:val="center"/>
              <w:rPr>
                <w:rFonts w:ascii="Arial" w:hAnsi="Arial" w:cs="Arial"/>
                <w:b/>
                <w:bCs/>
                <w:sz w:val="16"/>
                <w:szCs w:val="16"/>
                <w:lang w:val="et-EE" w:eastAsia="et-EE"/>
              </w:rPr>
            </w:pPr>
            <w:r w:rsidRPr="00DE4A36">
              <w:rPr>
                <w:rFonts w:ascii="Arial" w:hAnsi="Arial" w:cs="Arial"/>
                <w:b/>
                <w:bCs/>
                <w:sz w:val="16"/>
                <w:szCs w:val="16"/>
                <w:lang w:val="et-EE" w:eastAsia="et-EE"/>
              </w:rPr>
              <w:t>2017 täitmine</w:t>
            </w:r>
          </w:p>
        </w:tc>
        <w:tc>
          <w:tcPr>
            <w:tcW w:w="1134" w:type="dxa"/>
            <w:tcBorders>
              <w:top w:val="single" w:sz="4" w:space="0" w:color="000000"/>
              <w:left w:val="nil"/>
              <w:bottom w:val="single" w:sz="4" w:space="0" w:color="000000"/>
              <w:right w:val="single" w:sz="4" w:space="0" w:color="000000"/>
            </w:tcBorders>
            <w:shd w:val="clear" w:color="auto" w:fill="D6E3BC" w:themeFill="accent3" w:themeFillTint="66"/>
            <w:vAlign w:val="bottom"/>
            <w:hideMark/>
          </w:tcPr>
          <w:p w:rsidR="00DE4A36" w:rsidRPr="00DE4A36" w:rsidRDefault="00DE4A36" w:rsidP="00DE4A36">
            <w:pPr>
              <w:jc w:val="center"/>
              <w:rPr>
                <w:rFonts w:ascii="Arial" w:hAnsi="Arial" w:cs="Arial"/>
                <w:b/>
                <w:bCs/>
                <w:sz w:val="16"/>
                <w:szCs w:val="16"/>
                <w:lang w:val="et-EE" w:eastAsia="et-EE"/>
              </w:rPr>
            </w:pPr>
            <w:r w:rsidRPr="00DE4A36">
              <w:rPr>
                <w:rFonts w:ascii="Arial" w:hAnsi="Arial" w:cs="Arial"/>
                <w:b/>
                <w:bCs/>
                <w:sz w:val="16"/>
                <w:szCs w:val="16"/>
                <w:lang w:val="et-EE" w:eastAsia="et-EE"/>
              </w:rPr>
              <w:t>2018 eeldatav täitmine</w:t>
            </w:r>
          </w:p>
        </w:tc>
        <w:tc>
          <w:tcPr>
            <w:tcW w:w="992" w:type="dxa"/>
            <w:tcBorders>
              <w:top w:val="single" w:sz="4" w:space="0" w:color="000000"/>
              <w:left w:val="nil"/>
              <w:bottom w:val="single" w:sz="4" w:space="0" w:color="000000"/>
              <w:right w:val="single" w:sz="4" w:space="0" w:color="000000"/>
            </w:tcBorders>
            <w:shd w:val="clear" w:color="auto" w:fill="D6E3BC" w:themeFill="accent3" w:themeFillTint="66"/>
            <w:vAlign w:val="bottom"/>
            <w:hideMark/>
          </w:tcPr>
          <w:p w:rsidR="00DE4A36" w:rsidRPr="00DE4A36" w:rsidRDefault="00DE4A36" w:rsidP="00DE4A36">
            <w:pPr>
              <w:jc w:val="center"/>
              <w:rPr>
                <w:rFonts w:ascii="Arial" w:hAnsi="Arial" w:cs="Arial"/>
                <w:b/>
                <w:bCs/>
                <w:sz w:val="16"/>
                <w:szCs w:val="16"/>
                <w:lang w:val="et-EE" w:eastAsia="et-EE"/>
              </w:rPr>
            </w:pPr>
            <w:r w:rsidRPr="00DE4A36">
              <w:rPr>
                <w:rFonts w:ascii="Arial" w:hAnsi="Arial" w:cs="Arial"/>
                <w:b/>
                <w:bCs/>
                <w:sz w:val="16"/>
                <w:szCs w:val="16"/>
                <w:lang w:val="et-EE" w:eastAsia="et-EE"/>
              </w:rPr>
              <w:t xml:space="preserve">2019 eelarve  </w:t>
            </w:r>
          </w:p>
        </w:tc>
        <w:tc>
          <w:tcPr>
            <w:tcW w:w="993" w:type="dxa"/>
            <w:tcBorders>
              <w:top w:val="single" w:sz="4" w:space="0" w:color="000000"/>
              <w:left w:val="nil"/>
              <w:bottom w:val="single" w:sz="4" w:space="0" w:color="000000"/>
              <w:right w:val="single" w:sz="4" w:space="0" w:color="000000"/>
            </w:tcBorders>
            <w:shd w:val="clear" w:color="auto" w:fill="D6E3BC" w:themeFill="accent3" w:themeFillTint="66"/>
            <w:vAlign w:val="bottom"/>
            <w:hideMark/>
          </w:tcPr>
          <w:p w:rsidR="00DE4A36" w:rsidRPr="00DE4A36" w:rsidRDefault="00DE4A36" w:rsidP="00DE4A36">
            <w:pPr>
              <w:jc w:val="center"/>
              <w:rPr>
                <w:rFonts w:ascii="Arial" w:hAnsi="Arial" w:cs="Arial"/>
                <w:b/>
                <w:bCs/>
                <w:sz w:val="16"/>
                <w:szCs w:val="16"/>
                <w:lang w:val="et-EE" w:eastAsia="et-EE"/>
              </w:rPr>
            </w:pPr>
            <w:r w:rsidRPr="00DE4A36">
              <w:rPr>
                <w:rFonts w:ascii="Arial" w:hAnsi="Arial" w:cs="Arial"/>
                <w:b/>
                <w:bCs/>
                <w:sz w:val="16"/>
                <w:szCs w:val="16"/>
                <w:lang w:val="et-EE" w:eastAsia="et-EE"/>
              </w:rPr>
              <w:t xml:space="preserve">2020 eelarve  </w:t>
            </w:r>
          </w:p>
        </w:tc>
        <w:tc>
          <w:tcPr>
            <w:tcW w:w="992" w:type="dxa"/>
            <w:tcBorders>
              <w:top w:val="single" w:sz="4" w:space="0" w:color="000000"/>
              <w:left w:val="nil"/>
              <w:bottom w:val="single" w:sz="4" w:space="0" w:color="000000"/>
              <w:right w:val="single" w:sz="4" w:space="0" w:color="000000"/>
            </w:tcBorders>
            <w:shd w:val="clear" w:color="auto" w:fill="D6E3BC" w:themeFill="accent3" w:themeFillTint="66"/>
            <w:vAlign w:val="bottom"/>
            <w:hideMark/>
          </w:tcPr>
          <w:p w:rsidR="00DE4A36" w:rsidRPr="00DE4A36" w:rsidRDefault="00DE4A36" w:rsidP="00DE4A36">
            <w:pPr>
              <w:jc w:val="center"/>
              <w:rPr>
                <w:rFonts w:ascii="Arial" w:hAnsi="Arial" w:cs="Arial"/>
                <w:b/>
                <w:bCs/>
                <w:sz w:val="16"/>
                <w:szCs w:val="16"/>
                <w:lang w:val="et-EE" w:eastAsia="et-EE"/>
              </w:rPr>
            </w:pPr>
            <w:r w:rsidRPr="00DE4A36">
              <w:rPr>
                <w:rFonts w:ascii="Arial" w:hAnsi="Arial" w:cs="Arial"/>
                <w:b/>
                <w:bCs/>
                <w:sz w:val="16"/>
                <w:szCs w:val="16"/>
                <w:lang w:val="et-EE" w:eastAsia="et-EE"/>
              </w:rPr>
              <w:t xml:space="preserve">2021 eelarve  </w:t>
            </w:r>
          </w:p>
        </w:tc>
        <w:tc>
          <w:tcPr>
            <w:tcW w:w="992" w:type="dxa"/>
            <w:tcBorders>
              <w:top w:val="single" w:sz="4" w:space="0" w:color="000000"/>
              <w:left w:val="nil"/>
              <w:bottom w:val="single" w:sz="4" w:space="0" w:color="000000"/>
              <w:right w:val="single" w:sz="4" w:space="0" w:color="000000"/>
            </w:tcBorders>
            <w:shd w:val="clear" w:color="auto" w:fill="D6E3BC" w:themeFill="accent3" w:themeFillTint="66"/>
            <w:vAlign w:val="bottom"/>
            <w:hideMark/>
          </w:tcPr>
          <w:p w:rsidR="00DE4A36" w:rsidRPr="00DE4A36" w:rsidRDefault="00DE4A36" w:rsidP="00DE4A36">
            <w:pPr>
              <w:jc w:val="center"/>
              <w:rPr>
                <w:rFonts w:ascii="Arial" w:hAnsi="Arial" w:cs="Arial"/>
                <w:b/>
                <w:bCs/>
                <w:sz w:val="16"/>
                <w:szCs w:val="16"/>
                <w:lang w:val="et-EE" w:eastAsia="et-EE"/>
              </w:rPr>
            </w:pPr>
            <w:r w:rsidRPr="00DE4A36">
              <w:rPr>
                <w:rFonts w:ascii="Arial" w:hAnsi="Arial" w:cs="Arial"/>
                <w:b/>
                <w:bCs/>
                <w:sz w:val="16"/>
                <w:szCs w:val="16"/>
                <w:lang w:val="et-EE" w:eastAsia="et-EE"/>
              </w:rPr>
              <w:t xml:space="preserve">2022 eelarve  </w:t>
            </w:r>
          </w:p>
        </w:tc>
        <w:tc>
          <w:tcPr>
            <w:tcW w:w="992" w:type="dxa"/>
            <w:tcBorders>
              <w:top w:val="single" w:sz="4" w:space="0" w:color="000000"/>
              <w:left w:val="nil"/>
              <w:bottom w:val="single" w:sz="4" w:space="0" w:color="000000"/>
              <w:right w:val="single" w:sz="4" w:space="0" w:color="000000"/>
            </w:tcBorders>
            <w:shd w:val="clear" w:color="auto" w:fill="D6E3BC" w:themeFill="accent3" w:themeFillTint="66"/>
            <w:vAlign w:val="bottom"/>
            <w:hideMark/>
          </w:tcPr>
          <w:p w:rsidR="00DE4A36" w:rsidRPr="00DE4A36" w:rsidRDefault="00DE4A36" w:rsidP="00DE4A36">
            <w:pPr>
              <w:jc w:val="center"/>
              <w:rPr>
                <w:rFonts w:ascii="Arial" w:hAnsi="Arial" w:cs="Arial"/>
                <w:b/>
                <w:bCs/>
                <w:sz w:val="16"/>
                <w:szCs w:val="16"/>
                <w:lang w:val="et-EE" w:eastAsia="et-EE"/>
              </w:rPr>
            </w:pPr>
            <w:r w:rsidRPr="00DE4A36">
              <w:rPr>
                <w:rFonts w:ascii="Arial" w:hAnsi="Arial" w:cs="Arial"/>
                <w:b/>
                <w:bCs/>
                <w:sz w:val="16"/>
                <w:szCs w:val="16"/>
                <w:lang w:val="et-EE" w:eastAsia="et-EE"/>
              </w:rPr>
              <w:t xml:space="preserve">2023 eelarve  </w:t>
            </w:r>
          </w:p>
        </w:tc>
      </w:tr>
      <w:tr w:rsidR="00DE4A36" w:rsidRPr="00DE4A36" w:rsidTr="00DE4A36">
        <w:trPr>
          <w:trHeight w:val="225"/>
        </w:trPr>
        <w:tc>
          <w:tcPr>
            <w:tcW w:w="1838" w:type="dxa"/>
            <w:tcBorders>
              <w:top w:val="nil"/>
              <w:left w:val="single" w:sz="4" w:space="0" w:color="000000"/>
              <w:bottom w:val="single" w:sz="4" w:space="0" w:color="000000"/>
              <w:right w:val="single" w:sz="4" w:space="0" w:color="000000"/>
            </w:tcBorders>
            <w:shd w:val="clear" w:color="auto" w:fill="auto"/>
            <w:noWrap/>
            <w:vAlign w:val="bottom"/>
            <w:hideMark/>
          </w:tcPr>
          <w:p w:rsidR="00DE4A36" w:rsidRPr="00DE4A36" w:rsidRDefault="00DE4A36" w:rsidP="00DE4A36">
            <w:pPr>
              <w:rPr>
                <w:rFonts w:ascii="Arial" w:hAnsi="Arial" w:cs="Arial"/>
                <w:sz w:val="16"/>
                <w:szCs w:val="16"/>
                <w:lang w:val="et-EE" w:eastAsia="et-EE"/>
              </w:rPr>
            </w:pPr>
            <w:r w:rsidRPr="00DE4A36">
              <w:rPr>
                <w:rFonts w:ascii="Arial" w:hAnsi="Arial" w:cs="Arial"/>
                <w:sz w:val="16"/>
                <w:szCs w:val="16"/>
                <w:lang w:val="et-EE" w:eastAsia="et-EE"/>
              </w:rPr>
              <w:t>Põhitegevuse tulud</w:t>
            </w:r>
          </w:p>
        </w:tc>
        <w:tc>
          <w:tcPr>
            <w:tcW w:w="1134" w:type="dxa"/>
            <w:tcBorders>
              <w:top w:val="nil"/>
              <w:left w:val="nil"/>
              <w:bottom w:val="single" w:sz="4" w:space="0" w:color="000000"/>
              <w:right w:val="single" w:sz="4" w:space="0" w:color="000000"/>
            </w:tcBorders>
            <w:shd w:val="clear" w:color="auto" w:fill="auto"/>
            <w:noWrap/>
            <w:vAlign w:val="bottom"/>
            <w:hideMark/>
          </w:tcPr>
          <w:p w:rsidR="00DE4A36" w:rsidRPr="00DE4A36" w:rsidRDefault="00DE4A36" w:rsidP="00DE4A36">
            <w:pPr>
              <w:jc w:val="right"/>
              <w:rPr>
                <w:rFonts w:ascii="Arial" w:hAnsi="Arial" w:cs="Arial"/>
                <w:sz w:val="16"/>
                <w:szCs w:val="16"/>
                <w:lang w:val="et-EE" w:eastAsia="et-EE"/>
              </w:rPr>
            </w:pPr>
            <w:r w:rsidRPr="00DE4A36">
              <w:rPr>
                <w:rFonts w:ascii="Arial" w:hAnsi="Arial" w:cs="Arial"/>
                <w:sz w:val="16"/>
                <w:szCs w:val="16"/>
                <w:lang w:val="et-EE" w:eastAsia="et-EE"/>
              </w:rPr>
              <w:t>7 631 318</w:t>
            </w:r>
          </w:p>
        </w:tc>
        <w:tc>
          <w:tcPr>
            <w:tcW w:w="1134" w:type="dxa"/>
            <w:tcBorders>
              <w:top w:val="nil"/>
              <w:left w:val="nil"/>
              <w:bottom w:val="single" w:sz="4" w:space="0" w:color="000000"/>
              <w:right w:val="single" w:sz="4" w:space="0" w:color="000000"/>
            </w:tcBorders>
            <w:shd w:val="clear" w:color="auto" w:fill="auto"/>
            <w:noWrap/>
            <w:vAlign w:val="bottom"/>
            <w:hideMark/>
          </w:tcPr>
          <w:p w:rsidR="00DE4A36" w:rsidRPr="00DE4A36" w:rsidRDefault="00DE4A36" w:rsidP="00DE4A36">
            <w:pPr>
              <w:jc w:val="right"/>
              <w:rPr>
                <w:rFonts w:ascii="Arial" w:hAnsi="Arial" w:cs="Arial"/>
                <w:sz w:val="16"/>
                <w:szCs w:val="16"/>
                <w:lang w:val="et-EE" w:eastAsia="et-EE"/>
              </w:rPr>
            </w:pPr>
            <w:r w:rsidRPr="00DE4A36">
              <w:rPr>
                <w:rFonts w:ascii="Arial" w:hAnsi="Arial" w:cs="Arial"/>
                <w:sz w:val="16"/>
                <w:szCs w:val="16"/>
                <w:lang w:val="et-EE" w:eastAsia="et-EE"/>
              </w:rPr>
              <w:t>8 274 143</w:t>
            </w:r>
          </w:p>
        </w:tc>
        <w:tc>
          <w:tcPr>
            <w:tcW w:w="992" w:type="dxa"/>
            <w:tcBorders>
              <w:top w:val="nil"/>
              <w:left w:val="nil"/>
              <w:bottom w:val="single" w:sz="4" w:space="0" w:color="000000"/>
              <w:right w:val="single" w:sz="4" w:space="0" w:color="000000"/>
            </w:tcBorders>
            <w:shd w:val="clear" w:color="auto" w:fill="auto"/>
            <w:noWrap/>
            <w:vAlign w:val="bottom"/>
            <w:hideMark/>
          </w:tcPr>
          <w:p w:rsidR="00DE4A36" w:rsidRPr="00DE4A36" w:rsidRDefault="00DE4A36" w:rsidP="00DE4A36">
            <w:pPr>
              <w:jc w:val="right"/>
              <w:rPr>
                <w:rFonts w:ascii="Arial" w:hAnsi="Arial" w:cs="Arial"/>
                <w:sz w:val="16"/>
                <w:szCs w:val="16"/>
                <w:lang w:val="et-EE" w:eastAsia="et-EE"/>
              </w:rPr>
            </w:pPr>
            <w:r w:rsidRPr="00DE4A36">
              <w:rPr>
                <w:rFonts w:ascii="Arial" w:hAnsi="Arial" w:cs="Arial"/>
                <w:sz w:val="16"/>
                <w:szCs w:val="16"/>
                <w:lang w:val="et-EE" w:eastAsia="et-EE"/>
              </w:rPr>
              <w:t>8 479 342</w:t>
            </w:r>
          </w:p>
        </w:tc>
        <w:tc>
          <w:tcPr>
            <w:tcW w:w="993" w:type="dxa"/>
            <w:tcBorders>
              <w:top w:val="nil"/>
              <w:left w:val="nil"/>
              <w:bottom w:val="single" w:sz="4" w:space="0" w:color="000000"/>
              <w:right w:val="single" w:sz="4" w:space="0" w:color="000000"/>
            </w:tcBorders>
            <w:shd w:val="clear" w:color="auto" w:fill="auto"/>
            <w:noWrap/>
            <w:vAlign w:val="bottom"/>
            <w:hideMark/>
          </w:tcPr>
          <w:p w:rsidR="00DE4A36" w:rsidRPr="00DE4A36" w:rsidRDefault="00DE4A36" w:rsidP="00DE4A36">
            <w:pPr>
              <w:jc w:val="right"/>
              <w:rPr>
                <w:rFonts w:ascii="Arial" w:hAnsi="Arial" w:cs="Arial"/>
                <w:sz w:val="16"/>
                <w:szCs w:val="16"/>
                <w:lang w:val="et-EE" w:eastAsia="et-EE"/>
              </w:rPr>
            </w:pPr>
            <w:r w:rsidRPr="00DE4A36">
              <w:rPr>
                <w:rFonts w:ascii="Arial" w:hAnsi="Arial" w:cs="Arial"/>
                <w:sz w:val="16"/>
                <w:szCs w:val="16"/>
                <w:lang w:val="et-EE" w:eastAsia="et-EE"/>
              </w:rPr>
              <w:t>8 459 170</w:t>
            </w:r>
          </w:p>
        </w:tc>
        <w:tc>
          <w:tcPr>
            <w:tcW w:w="992" w:type="dxa"/>
            <w:tcBorders>
              <w:top w:val="nil"/>
              <w:left w:val="nil"/>
              <w:bottom w:val="single" w:sz="4" w:space="0" w:color="000000"/>
              <w:right w:val="single" w:sz="4" w:space="0" w:color="000000"/>
            </w:tcBorders>
            <w:shd w:val="clear" w:color="auto" w:fill="auto"/>
            <w:noWrap/>
            <w:vAlign w:val="bottom"/>
            <w:hideMark/>
          </w:tcPr>
          <w:p w:rsidR="00DE4A36" w:rsidRPr="00DE4A36" w:rsidRDefault="00DE4A36" w:rsidP="00DE4A36">
            <w:pPr>
              <w:jc w:val="right"/>
              <w:rPr>
                <w:rFonts w:ascii="Arial" w:hAnsi="Arial" w:cs="Arial"/>
                <w:sz w:val="16"/>
                <w:szCs w:val="16"/>
                <w:lang w:val="et-EE" w:eastAsia="et-EE"/>
              </w:rPr>
            </w:pPr>
            <w:r w:rsidRPr="00DE4A36">
              <w:rPr>
                <w:rFonts w:ascii="Arial" w:hAnsi="Arial" w:cs="Arial"/>
                <w:sz w:val="16"/>
                <w:szCs w:val="16"/>
                <w:lang w:val="et-EE" w:eastAsia="et-EE"/>
              </w:rPr>
              <w:t>8 607 611</w:t>
            </w:r>
          </w:p>
        </w:tc>
        <w:tc>
          <w:tcPr>
            <w:tcW w:w="992" w:type="dxa"/>
            <w:tcBorders>
              <w:top w:val="nil"/>
              <w:left w:val="nil"/>
              <w:bottom w:val="single" w:sz="4" w:space="0" w:color="000000"/>
              <w:right w:val="single" w:sz="4" w:space="0" w:color="000000"/>
            </w:tcBorders>
            <w:shd w:val="clear" w:color="auto" w:fill="auto"/>
            <w:noWrap/>
            <w:vAlign w:val="bottom"/>
            <w:hideMark/>
          </w:tcPr>
          <w:p w:rsidR="00DE4A36" w:rsidRPr="00DE4A36" w:rsidRDefault="00DE4A36" w:rsidP="00DE4A36">
            <w:pPr>
              <w:jc w:val="right"/>
              <w:rPr>
                <w:rFonts w:ascii="Arial" w:hAnsi="Arial" w:cs="Arial"/>
                <w:sz w:val="16"/>
                <w:szCs w:val="16"/>
                <w:lang w:val="et-EE" w:eastAsia="et-EE"/>
              </w:rPr>
            </w:pPr>
            <w:r w:rsidRPr="00DE4A36">
              <w:rPr>
                <w:rFonts w:ascii="Arial" w:hAnsi="Arial" w:cs="Arial"/>
                <w:sz w:val="16"/>
                <w:szCs w:val="16"/>
                <w:lang w:val="et-EE" w:eastAsia="et-EE"/>
              </w:rPr>
              <w:t>8 749 962</w:t>
            </w:r>
          </w:p>
        </w:tc>
        <w:tc>
          <w:tcPr>
            <w:tcW w:w="992" w:type="dxa"/>
            <w:tcBorders>
              <w:top w:val="nil"/>
              <w:left w:val="nil"/>
              <w:bottom w:val="single" w:sz="4" w:space="0" w:color="000000"/>
              <w:right w:val="single" w:sz="4" w:space="0" w:color="000000"/>
            </w:tcBorders>
            <w:shd w:val="clear" w:color="auto" w:fill="auto"/>
            <w:noWrap/>
            <w:vAlign w:val="bottom"/>
            <w:hideMark/>
          </w:tcPr>
          <w:p w:rsidR="00DE4A36" w:rsidRPr="00DE4A36" w:rsidRDefault="00DE4A36" w:rsidP="00DE4A36">
            <w:pPr>
              <w:jc w:val="right"/>
              <w:rPr>
                <w:rFonts w:ascii="Arial" w:hAnsi="Arial" w:cs="Arial"/>
                <w:sz w:val="16"/>
                <w:szCs w:val="16"/>
                <w:lang w:val="et-EE" w:eastAsia="et-EE"/>
              </w:rPr>
            </w:pPr>
            <w:r w:rsidRPr="00DE4A36">
              <w:rPr>
                <w:rFonts w:ascii="Arial" w:hAnsi="Arial" w:cs="Arial"/>
                <w:sz w:val="16"/>
                <w:szCs w:val="16"/>
                <w:lang w:val="et-EE" w:eastAsia="et-EE"/>
              </w:rPr>
              <w:t>8 888 355</w:t>
            </w:r>
          </w:p>
        </w:tc>
      </w:tr>
      <w:tr w:rsidR="00DE4A36" w:rsidRPr="00DE4A36" w:rsidTr="00DE4A36">
        <w:trPr>
          <w:trHeight w:val="225"/>
        </w:trPr>
        <w:tc>
          <w:tcPr>
            <w:tcW w:w="1838" w:type="dxa"/>
            <w:tcBorders>
              <w:top w:val="nil"/>
              <w:left w:val="single" w:sz="4" w:space="0" w:color="000000"/>
              <w:bottom w:val="single" w:sz="4" w:space="0" w:color="000000"/>
              <w:right w:val="single" w:sz="4" w:space="0" w:color="000000"/>
            </w:tcBorders>
            <w:shd w:val="clear" w:color="auto" w:fill="auto"/>
            <w:noWrap/>
            <w:vAlign w:val="bottom"/>
            <w:hideMark/>
          </w:tcPr>
          <w:p w:rsidR="00DE4A36" w:rsidRPr="00DE4A36" w:rsidRDefault="00DE4A36" w:rsidP="00DE4A36">
            <w:pPr>
              <w:rPr>
                <w:rFonts w:ascii="Arial" w:hAnsi="Arial" w:cs="Arial"/>
                <w:sz w:val="16"/>
                <w:szCs w:val="16"/>
                <w:lang w:val="et-EE" w:eastAsia="et-EE"/>
              </w:rPr>
            </w:pPr>
            <w:r w:rsidRPr="00DE4A36">
              <w:rPr>
                <w:rFonts w:ascii="Arial" w:hAnsi="Arial" w:cs="Arial"/>
                <w:sz w:val="16"/>
                <w:szCs w:val="16"/>
                <w:lang w:val="et-EE" w:eastAsia="et-EE"/>
              </w:rPr>
              <w:t>Põhitegevuse kulud</w:t>
            </w:r>
          </w:p>
        </w:tc>
        <w:tc>
          <w:tcPr>
            <w:tcW w:w="1134" w:type="dxa"/>
            <w:tcBorders>
              <w:top w:val="nil"/>
              <w:left w:val="nil"/>
              <w:bottom w:val="single" w:sz="4" w:space="0" w:color="000000"/>
              <w:right w:val="single" w:sz="4" w:space="0" w:color="000000"/>
            </w:tcBorders>
            <w:shd w:val="clear" w:color="auto" w:fill="auto"/>
            <w:noWrap/>
            <w:vAlign w:val="bottom"/>
            <w:hideMark/>
          </w:tcPr>
          <w:p w:rsidR="00DE4A36" w:rsidRPr="00DE4A36" w:rsidRDefault="00DE4A36" w:rsidP="00DE4A36">
            <w:pPr>
              <w:jc w:val="right"/>
              <w:rPr>
                <w:rFonts w:ascii="Arial" w:hAnsi="Arial" w:cs="Arial"/>
                <w:sz w:val="16"/>
                <w:szCs w:val="16"/>
                <w:lang w:val="et-EE" w:eastAsia="et-EE"/>
              </w:rPr>
            </w:pPr>
            <w:r w:rsidRPr="00DE4A36">
              <w:rPr>
                <w:rFonts w:ascii="Arial" w:hAnsi="Arial" w:cs="Arial"/>
                <w:sz w:val="16"/>
                <w:szCs w:val="16"/>
                <w:lang w:val="et-EE" w:eastAsia="et-EE"/>
              </w:rPr>
              <w:t>7 149 350</w:t>
            </w:r>
          </w:p>
        </w:tc>
        <w:tc>
          <w:tcPr>
            <w:tcW w:w="1134" w:type="dxa"/>
            <w:tcBorders>
              <w:top w:val="nil"/>
              <w:left w:val="nil"/>
              <w:bottom w:val="single" w:sz="4" w:space="0" w:color="000000"/>
              <w:right w:val="single" w:sz="4" w:space="0" w:color="000000"/>
            </w:tcBorders>
            <w:shd w:val="clear" w:color="auto" w:fill="auto"/>
            <w:noWrap/>
            <w:vAlign w:val="bottom"/>
            <w:hideMark/>
          </w:tcPr>
          <w:p w:rsidR="00DE4A36" w:rsidRPr="00DE4A36" w:rsidRDefault="00DE4A36" w:rsidP="00DE4A36">
            <w:pPr>
              <w:jc w:val="right"/>
              <w:rPr>
                <w:rFonts w:ascii="Arial" w:hAnsi="Arial" w:cs="Arial"/>
                <w:sz w:val="16"/>
                <w:szCs w:val="16"/>
                <w:lang w:val="et-EE" w:eastAsia="et-EE"/>
              </w:rPr>
            </w:pPr>
            <w:r w:rsidRPr="00DE4A36">
              <w:rPr>
                <w:rFonts w:ascii="Arial" w:hAnsi="Arial" w:cs="Arial"/>
                <w:sz w:val="16"/>
                <w:szCs w:val="16"/>
                <w:lang w:val="et-EE" w:eastAsia="et-EE"/>
              </w:rPr>
              <w:t>7 981 912</w:t>
            </w:r>
          </w:p>
        </w:tc>
        <w:tc>
          <w:tcPr>
            <w:tcW w:w="992" w:type="dxa"/>
            <w:tcBorders>
              <w:top w:val="nil"/>
              <w:left w:val="nil"/>
              <w:bottom w:val="single" w:sz="4" w:space="0" w:color="000000"/>
              <w:right w:val="single" w:sz="4" w:space="0" w:color="000000"/>
            </w:tcBorders>
            <w:shd w:val="clear" w:color="auto" w:fill="auto"/>
            <w:noWrap/>
            <w:vAlign w:val="bottom"/>
            <w:hideMark/>
          </w:tcPr>
          <w:p w:rsidR="00DE4A36" w:rsidRPr="00DE4A36" w:rsidRDefault="00DE4A36" w:rsidP="00DE4A36">
            <w:pPr>
              <w:jc w:val="right"/>
              <w:rPr>
                <w:rFonts w:ascii="Arial" w:hAnsi="Arial" w:cs="Arial"/>
                <w:sz w:val="16"/>
                <w:szCs w:val="16"/>
                <w:lang w:val="et-EE" w:eastAsia="et-EE"/>
              </w:rPr>
            </w:pPr>
            <w:r w:rsidRPr="00DE4A36">
              <w:rPr>
                <w:rFonts w:ascii="Arial" w:hAnsi="Arial" w:cs="Arial"/>
                <w:sz w:val="16"/>
                <w:szCs w:val="16"/>
                <w:lang w:val="et-EE" w:eastAsia="et-EE"/>
              </w:rPr>
              <w:t>8 070 000</w:t>
            </w:r>
          </w:p>
        </w:tc>
        <w:tc>
          <w:tcPr>
            <w:tcW w:w="993" w:type="dxa"/>
            <w:tcBorders>
              <w:top w:val="nil"/>
              <w:left w:val="nil"/>
              <w:bottom w:val="single" w:sz="4" w:space="0" w:color="000000"/>
              <w:right w:val="single" w:sz="4" w:space="0" w:color="000000"/>
            </w:tcBorders>
            <w:shd w:val="clear" w:color="auto" w:fill="auto"/>
            <w:noWrap/>
            <w:vAlign w:val="bottom"/>
            <w:hideMark/>
          </w:tcPr>
          <w:p w:rsidR="00DE4A36" w:rsidRPr="00DE4A36" w:rsidRDefault="00DE4A36" w:rsidP="00DE4A36">
            <w:pPr>
              <w:jc w:val="right"/>
              <w:rPr>
                <w:rFonts w:ascii="Arial" w:hAnsi="Arial" w:cs="Arial"/>
                <w:sz w:val="16"/>
                <w:szCs w:val="16"/>
                <w:lang w:val="et-EE" w:eastAsia="et-EE"/>
              </w:rPr>
            </w:pPr>
            <w:r w:rsidRPr="00DE4A36">
              <w:rPr>
                <w:rFonts w:ascii="Arial" w:hAnsi="Arial" w:cs="Arial"/>
                <w:sz w:val="16"/>
                <w:szCs w:val="16"/>
                <w:lang w:val="et-EE" w:eastAsia="et-EE"/>
              </w:rPr>
              <w:t>8 170 000</w:t>
            </w:r>
          </w:p>
        </w:tc>
        <w:tc>
          <w:tcPr>
            <w:tcW w:w="992" w:type="dxa"/>
            <w:tcBorders>
              <w:top w:val="nil"/>
              <w:left w:val="nil"/>
              <w:bottom w:val="single" w:sz="4" w:space="0" w:color="000000"/>
              <w:right w:val="single" w:sz="4" w:space="0" w:color="000000"/>
            </w:tcBorders>
            <w:shd w:val="clear" w:color="auto" w:fill="auto"/>
            <w:noWrap/>
            <w:vAlign w:val="bottom"/>
            <w:hideMark/>
          </w:tcPr>
          <w:p w:rsidR="00DE4A36" w:rsidRPr="00DE4A36" w:rsidRDefault="00DE4A36" w:rsidP="00DE4A36">
            <w:pPr>
              <w:jc w:val="right"/>
              <w:rPr>
                <w:rFonts w:ascii="Arial" w:hAnsi="Arial" w:cs="Arial"/>
                <w:sz w:val="16"/>
                <w:szCs w:val="16"/>
                <w:lang w:val="et-EE" w:eastAsia="et-EE"/>
              </w:rPr>
            </w:pPr>
            <w:r w:rsidRPr="00DE4A36">
              <w:rPr>
                <w:rFonts w:ascii="Arial" w:hAnsi="Arial" w:cs="Arial"/>
                <w:sz w:val="16"/>
                <w:szCs w:val="16"/>
                <w:lang w:val="et-EE" w:eastAsia="et-EE"/>
              </w:rPr>
              <w:t>8 310 000</w:t>
            </w:r>
          </w:p>
        </w:tc>
        <w:tc>
          <w:tcPr>
            <w:tcW w:w="992" w:type="dxa"/>
            <w:tcBorders>
              <w:top w:val="nil"/>
              <w:left w:val="nil"/>
              <w:bottom w:val="single" w:sz="4" w:space="0" w:color="000000"/>
              <w:right w:val="single" w:sz="4" w:space="0" w:color="000000"/>
            </w:tcBorders>
            <w:shd w:val="clear" w:color="auto" w:fill="auto"/>
            <w:noWrap/>
            <w:vAlign w:val="bottom"/>
            <w:hideMark/>
          </w:tcPr>
          <w:p w:rsidR="00DE4A36" w:rsidRPr="00DE4A36" w:rsidRDefault="00DE4A36" w:rsidP="00DE4A36">
            <w:pPr>
              <w:jc w:val="right"/>
              <w:rPr>
                <w:rFonts w:ascii="Arial" w:hAnsi="Arial" w:cs="Arial"/>
                <w:sz w:val="16"/>
                <w:szCs w:val="16"/>
                <w:lang w:val="et-EE" w:eastAsia="et-EE"/>
              </w:rPr>
            </w:pPr>
            <w:r w:rsidRPr="00DE4A36">
              <w:rPr>
                <w:rFonts w:ascii="Arial" w:hAnsi="Arial" w:cs="Arial"/>
                <w:sz w:val="16"/>
                <w:szCs w:val="16"/>
                <w:lang w:val="et-EE" w:eastAsia="et-EE"/>
              </w:rPr>
              <w:t>8 405 000</w:t>
            </w:r>
          </w:p>
        </w:tc>
        <w:tc>
          <w:tcPr>
            <w:tcW w:w="992" w:type="dxa"/>
            <w:tcBorders>
              <w:top w:val="nil"/>
              <w:left w:val="nil"/>
              <w:bottom w:val="single" w:sz="4" w:space="0" w:color="000000"/>
              <w:right w:val="single" w:sz="4" w:space="0" w:color="000000"/>
            </w:tcBorders>
            <w:shd w:val="clear" w:color="auto" w:fill="auto"/>
            <w:noWrap/>
            <w:vAlign w:val="bottom"/>
            <w:hideMark/>
          </w:tcPr>
          <w:p w:rsidR="00DE4A36" w:rsidRPr="00DE4A36" w:rsidRDefault="00DE4A36" w:rsidP="00DE4A36">
            <w:pPr>
              <w:jc w:val="right"/>
              <w:rPr>
                <w:rFonts w:ascii="Arial" w:hAnsi="Arial" w:cs="Arial"/>
                <w:sz w:val="16"/>
                <w:szCs w:val="16"/>
                <w:lang w:val="et-EE" w:eastAsia="et-EE"/>
              </w:rPr>
            </w:pPr>
            <w:r w:rsidRPr="00DE4A36">
              <w:rPr>
                <w:rFonts w:ascii="Arial" w:hAnsi="Arial" w:cs="Arial"/>
                <w:sz w:val="16"/>
                <w:szCs w:val="16"/>
                <w:lang w:val="et-EE" w:eastAsia="et-EE"/>
              </w:rPr>
              <w:t>8 495 000</w:t>
            </w:r>
          </w:p>
        </w:tc>
      </w:tr>
      <w:tr w:rsidR="00DE4A36" w:rsidRPr="00DE4A36" w:rsidTr="00DE4A36">
        <w:trPr>
          <w:trHeight w:val="225"/>
        </w:trPr>
        <w:tc>
          <w:tcPr>
            <w:tcW w:w="1838" w:type="dxa"/>
            <w:tcBorders>
              <w:top w:val="nil"/>
              <w:left w:val="single" w:sz="4" w:space="0" w:color="000000"/>
              <w:bottom w:val="single" w:sz="4" w:space="0" w:color="000000"/>
              <w:right w:val="single" w:sz="4" w:space="0" w:color="000000"/>
            </w:tcBorders>
            <w:shd w:val="clear" w:color="auto" w:fill="auto"/>
            <w:noWrap/>
            <w:vAlign w:val="bottom"/>
            <w:hideMark/>
          </w:tcPr>
          <w:p w:rsidR="00DE4A36" w:rsidRPr="00DE4A36" w:rsidRDefault="00DE4A36" w:rsidP="00DE4A36">
            <w:pPr>
              <w:rPr>
                <w:rFonts w:ascii="Arial" w:hAnsi="Arial" w:cs="Arial"/>
                <w:b/>
                <w:bCs/>
                <w:sz w:val="16"/>
                <w:szCs w:val="16"/>
                <w:lang w:val="et-EE" w:eastAsia="et-EE"/>
              </w:rPr>
            </w:pPr>
            <w:r w:rsidRPr="00DE4A36">
              <w:rPr>
                <w:rFonts w:ascii="Arial" w:hAnsi="Arial" w:cs="Arial"/>
                <w:b/>
                <w:bCs/>
                <w:sz w:val="16"/>
                <w:szCs w:val="16"/>
                <w:lang w:val="et-EE" w:eastAsia="et-EE"/>
              </w:rPr>
              <w:t>Põhitegevuse tulem</w:t>
            </w:r>
          </w:p>
        </w:tc>
        <w:tc>
          <w:tcPr>
            <w:tcW w:w="1134" w:type="dxa"/>
            <w:tcBorders>
              <w:top w:val="nil"/>
              <w:left w:val="nil"/>
              <w:bottom w:val="single" w:sz="4" w:space="0" w:color="000000"/>
              <w:right w:val="single" w:sz="4" w:space="0" w:color="000000"/>
            </w:tcBorders>
            <w:shd w:val="clear" w:color="auto" w:fill="auto"/>
            <w:noWrap/>
            <w:vAlign w:val="bottom"/>
            <w:hideMark/>
          </w:tcPr>
          <w:p w:rsidR="00DE4A36" w:rsidRPr="00DE4A36" w:rsidRDefault="00DE4A36" w:rsidP="00DE4A36">
            <w:pPr>
              <w:jc w:val="right"/>
              <w:rPr>
                <w:rFonts w:ascii="Arial" w:hAnsi="Arial" w:cs="Arial"/>
                <w:b/>
                <w:bCs/>
                <w:sz w:val="16"/>
                <w:szCs w:val="16"/>
                <w:lang w:val="et-EE" w:eastAsia="et-EE"/>
              </w:rPr>
            </w:pPr>
            <w:r w:rsidRPr="00DE4A36">
              <w:rPr>
                <w:rFonts w:ascii="Arial" w:hAnsi="Arial" w:cs="Arial"/>
                <w:b/>
                <w:bCs/>
                <w:sz w:val="16"/>
                <w:szCs w:val="16"/>
                <w:lang w:val="et-EE" w:eastAsia="et-EE"/>
              </w:rPr>
              <w:t>481 968</w:t>
            </w:r>
          </w:p>
        </w:tc>
        <w:tc>
          <w:tcPr>
            <w:tcW w:w="1134" w:type="dxa"/>
            <w:tcBorders>
              <w:top w:val="nil"/>
              <w:left w:val="nil"/>
              <w:bottom w:val="single" w:sz="4" w:space="0" w:color="000000"/>
              <w:right w:val="single" w:sz="4" w:space="0" w:color="000000"/>
            </w:tcBorders>
            <w:shd w:val="clear" w:color="auto" w:fill="auto"/>
            <w:noWrap/>
            <w:vAlign w:val="bottom"/>
            <w:hideMark/>
          </w:tcPr>
          <w:p w:rsidR="00DE4A36" w:rsidRPr="00DE4A36" w:rsidRDefault="00DE4A36" w:rsidP="00DE4A36">
            <w:pPr>
              <w:jc w:val="right"/>
              <w:rPr>
                <w:rFonts w:ascii="Arial" w:hAnsi="Arial" w:cs="Arial"/>
                <w:b/>
                <w:bCs/>
                <w:sz w:val="16"/>
                <w:szCs w:val="16"/>
                <w:lang w:val="et-EE" w:eastAsia="et-EE"/>
              </w:rPr>
            </w:pPr>
            <w:r w:rsidRPr="00DE4A36">
              <w:rPr>
                <w:rFonts w:ascii="Arial" w:hAnsi="Arial" w:cs="Arial"/>
                <w:b/>
                <w:bCs/>
                <w:sz w:val="16"/>
                <w:szCs w:val="16"/>
                <w:lang w:val="et-EE" w:eastAsia="et-EE"/>
              </w:rPr>
              <w:t>292 232</w:t>
            </w:r>
          </w:p>
        </w:tc>
        <w:tc>
          <w:tcPr>
            <w:tcW w:w="992" w:type="dxa"/>
            <w:tcBorders>
              <w:top w:val="nil"/>
              <w:left w:val="nil"/>
              <w:bottom w:val="single" w:sz="4" w:space="0" w:color="000000"/>
              <w:right w:val="single" w:sz="4" w:space="0" w:color="000000"/>
            </w:tcBorders>
            <w:shd w:val="clear" w:color="auto" w:fill="auto"/>
            <w:noWrap/>
            <w:vAlign w:val="bottom"/>
            <w:hideMark/>
          </w:tcPr>
          <w:p w:rsidR="00DE4A36" w:rsidRPr="00DE4A36" w:rsidRDefault="00DE4A36" w:rsidP="00DE4A36">
            <w:pPr>
              <w:jc w:val="right"/>
              <w:rPr>
                <w:rFonts w:ascii="Arial" w:hAnsi="Arial" w:cs="Arial"/>
                <w:b/>
                <w:bCs/>
                <w:sz w:val="16"/>
                <w:szCs w:val="16"/>
                <w:lang w:val="et-EE" w:eastAsia="et-EE"/>
              </w:rPr>
            </w:pPr>
            <w:r w:rsidRPr="00DE4A36">
              <w:rPr>
                <w:rFonts w:ascii="Arial" w:hAnsi="Arial" w:cs="Arial"/>
                <w:b/>
                <w:bCs/>
                <w:sz w:val="16"/>
                <w:szCs w:val="16"/>
                <w:lang w:val="et-EE" w:eastAsia="et-EE"/>
              </w:rPr>
              <w:t>409 342</w:t>
            </w:r>
          </w:p>
        </w:tc>
        <w:tc>
          <w:tcPr>
            <w:tcW w:w="993" w:type="dxa"/>
            <w:tcBorders>
              <w:top w:val="nil"/>
              <w:left w:val="nil"/>
              <w:bottom w:val="single" w:sz="4" w:space="0" w:color="000000"/>
              <w:right w:val="single" w:sz="4" w:space="0" w:color="000000"/>
            </w:tcBorders>
            <w:shd w:val="clear" w:color="auto" w:fill="auto"/>
            <w:noWrap/>
            <w:vAlign w:val="bottom"/>
            <w:hideMark/>
          </w:tcPr>
          <w:p w:rsidR="00DE4A36" w:rsidRPr="00DE4A36" w:rsidRDefault="00DE4A36" w:rsidP="00DE4A36">
            <w:pPr>
              <w:jc w:val="right"/>
              <w:rPr>
                <w:rFonts w:ascii="Arial" w:hAnsi="Arial" w:cs="Arial"/>
                <w:b/>
                <w:bCs/>
                <w:sz w:val="16"/>
                <w:szCs w:val="16"/>
                <w:lang w:val="et-EE" w:eastAsia="et-EE"/>
              </w:rPr>
            </w:pPr>
            <w:r w:rsidRPr="00DE4A36">
              <w:rPr>
                <w:rFonts w:ascii="Arial" w:hAnsi="Arial" w:cs="Arial"/>
                <w:b/>
                <w:bCs/>
                <w:sz w:val="16"/>
                <w:szCs w:val="16"/>
                <w:lang w:val="et-EE" w:eastAsia="et-EE"/>
              </w:rPr>
              <w:t>289 170</w:t>
            </w:r>
          </w:p>
        </w:tc>
        <w:tc>
          <w:tcPr>
            <w:tcW w:w="992" w:type="dxa"/>
            <w:tcBorders>
              <w:top w:val="nil"/>
              <w:left w:val="nil"/>
              <w:bottom w:val="single" w:sz="4" w:space="0" w:color="000000"/>
              <w:right w:val="single" w:sz="4" w:space="0" w:color="000000"/>
            </w:tcBorders>
            <w:shd w:val="clear" w:color="auto" w:fill="auto"/>
            <w:noWrap/>
            <w:vAlign w:val="bottom"/>
            <w:hideMark/>
          </w:tcPr>
          <w:p w:rsidR="00DE4A36" w:rsidRPr="00DE4A36" w:rsidRDefault="00DE4A36" w:rsidP="00DE4A36">
            <w:pPr>
              <w:jc w:val="right"/>
              <w:rPr>
                <w:rFonts w:ascii="Arial" w:hAnsi="Arial" w:cs="Arial"/>
                <w:b/>
                <w:bCs/>
                <w:sz w:val="16"/>
                <w:szCs w:val="16"/>
                <w:lang w:val="et-EE" w:eastAsia="et-EE"/>
              </w:rPr>
            </w:pPr>
            <w:r w:rsidRPr="00DE4A36">
              <w:rPr>
                <w:rFonts w:ascii="Arial" w:hAnsi="Arial" w:cs="Arial"/>
                <w:b/>
                <w:bCs/>
                <w:sz w:val="16"/>
                <w:szCs w:val="16"/>
                <w:lang w:val="et-EE" w:eastAsia="et-EE"/>
              </w:rPr>
              <w:t>297 611</w:t>
            </w:r>
          </w:p>
        </w:tc>
        <w:tc>
          <w:tcPr>
            <w:tcW w:w="992" w:type="dxa"/>
            <w:tcBorders>
              <w:top w:val="nil"/>
              <w:left w:val="nil"/>
              <w:bottom w:val="single" w:sz="4" w:space="0" w:color="000000"/>
              <w:right w:val="single" w:sz="4" w:space="0" w:color="000000"/>
            </w:tcBorders>
            <w:shd w:val="clear" w:color="auto" w:fill="auto"/>
            <w:noWrap/>
            <w:vAlign w:val="bottom"/>
            <w:hideMark/>
          </w:tcPr>
          <w:p w:rsidR="00DE4A36" w:rsidRPr="00DE4A36" w:rsidRDefault="00DE4A36" w:rsidP="00DE4A36">
            <w:pPr>
              <w:jc w:val="right"/>
              <w:rPr>
                <w:rFonts w:ascii="Arial" w:hAnsi="Arial" w:cs="Arial"/>
                <w:b/>
                <w:bCs/>
                <w:sz w:val="16"/>
                <w:szCs w:val="16"/>
                <w:lang w:val="et-EE" w:eastAsia="et-EE"/>
              </w:rPr>
            </w:pPr>
            <w:r w:rsidRPr="00DE4A36">
              <w:rPr>
                <w:rFonts w:ascii="Arial" w:hAnsi="Arial" w:cs="Arial"/>
                <w:b/>
                <w:bCs/>
                <w:sz w:val="16"/>
                <w:szCs w:val="16"/>
                <w:lang w:val="et-EE" w:eastAsia="et-EE"/>
              </w:rPr>
              <w:t>344 962</w:t>
            </w:r>
          </w:p>
        </w:tc>
        <w:tc>
          <w:tcPr>
            <w:tcW w:w="992" w:type="dxa"/>
            <w:tcBorders>
              <w:top w:val="nil"/>
              <w:left w:val="nil"/>
              <w:bottom w:val="single" w:sz="4" w:space="0" w:color="000000"/>
              <w:right w:val="single" w:sz="4" w:space="0" w:color="000000"/>
            </w:tcBorders>
            <w:shd w:val="clear" w:color="auto" w:fill="auto"/>
            <w:noWrap/>
            <w:vAlign w:val="bottom"/>
            <w:hideMark/>
          </w:tcPr>
          <w:p w:rsidR="00DE4A36" w:rsidRPr="00DE4A36" w:rsidRDefault="00DE4A36" w:rsidP="00DE4A36">
            <w:pPr>
              <w:jc w:val="right"/>
              <w:rPr>
                <w:rFonts w:ascii="Arial" w:hAnsi="Arial" w:cs="Arial"/>
                <w:b/>
                <w:bCs/>
                <w:sz w:val="16"/>
                <w:szCs w:val="16"/>
                <w:lang w:val="et-EE" w:eastAsia="et-EE"/>
              </w:rPr>
            </w:pPr>
            <w:r w:rsidRPr="00DE4A36">
              <w:rPr>
                <w:rFonts w:ascii="Arial" w:hAnsi="Arial" w:cs="Arial"/>
                <w:b/>
                <w:bCs/>
                <w:sz w:val="16"/>
                <w:szCs w:val="16"/>
                <w:lang w:val="et-EE" w:eastAsia="et-EE"/>
              </w:rPr>
              <w:t>393 355</w:t>
            </w:r>
          </w:p>
        </w:tc>
      </w:tr>
    </w:tbl>
    <w:p w:rsidR="00DE4A36" w:rsidRPr="00E95D36" w:rsidRDefault="00DE4A36" w:rsidP="008513EC">
      <w:pPr>
        <w:rPr>
          <w:rFonts w:ascii="Trebuchet MS" w:hAnsi="Trebuchet MS"/>
          <w:b/>
          <w:lang w:val="et-EE"/>
        </w:rPr>
      </w:pPr>
    </w:p>
    <w:p w:rsidR="008513EC" w:rsidRPr="00BA1430" w:rsidRDefault="003A4ABC" w:rsidP="00924C20">
      <w:pPr>
        <w:rPr>
          <w:b/>
          <w:sz w:val="20"/>
          <w:szCs w:val="20"/>
          <w:lang w:val="et-EE"/>
        </w:rPr>
      </w:pPr>
      <w:r w:rsidRPr="00BA1430">
        <w:rPr>
          <w:b/>
          <w:sz w:val="20"/>
          <w:szCs w:val="20"/>
          <w:lang w:val="et-EE"/>
        </w:rPr>
        <w:t>Tabel 13. Viru-Nigula valla põhitegevuse tulem.</w:t>
      </w:r>
    </w:p>
    <w:p w:rsidR="003A4ABC" w:rsidRPr="00BA1430" w:rsidRDefault="003A4ABC" w:rsidP="00924C20">
      <w:pPr>
        <w:rPr>
          <w:sz w:val="20"/>
          <w:szCs w:val="20"/>
          <w:lang w:val="et-EE"/>
        </w:rPr>
      </w:pPr>
    </w:p>
    <w:p w:rsidR="006456B6" w:rsidRPr="00BA1430" w:rsidRDefault="00924C20" w:rsidP="009B7E8F">
      <w:pPr>
        <w:spacing w:line="276" w:lineRule="auto"/>
        <w:rPr>
          <w:lang w:val="et-EE"/>
        </w:rPr>
      </w:pPr>
      <w:r w:rsidRPr="00BA1430">
        <w:rPr>
          <w:lang w:val="et-EE"/>
        </w:rPr>
        <w:t xml:space="preserve">Eesmärk: </w:t>
      </w:r>
    </w:p>
    <w:p w:rsidR="00924C20" w:rsidRPr="00BA1430" w:rsidRDefault="00E50EEE" w:rsidP="009B7E8F">
      <w:pPr>
        <w:pStyle w:val="Loendilik"/>
        <w:numPr>
          <w:ilvl w:val="0"/>
          <w:numId w:val="2"/>
        </w:numPr>
        <w:rPr>
          <w:szCs w:val="24"/>
        </w:rPr>
      </w:pPr>
      <w:r>
        <w:rPr>
          <w:szCs w:val="24"/>
        </w:rPr>
        <w:t>p</w:t>
      </w:r>
      <w:r w:rsidR="00924C20" w:rsidRPr="00BA1430">
        <w:rPr>
          <w:szCs w:val="24"/>
        </w:rPr>
        <w:t>õhitegevuse tulem peab tagama minimaalselt kohustuste tagasimakse summa aastas (põhiosa + intressid);</w:t>
      </w:r>
    </w:p>
    <w:p w:rsidR="00924C20" w:rsidRPr="00BA1430" w:rsidRDefault="00E50EEE" w:rsidP="009B7E8F">
      <w:pPr>
        <w:pStyle w:val="Loendilik"/>
        <w:numPr>
          <w:ilvl w:val="0"/>
          <w:numId w:val="2"/>
        </w:numPr>
        <w:rPr>
          <w:szCs w:val="24"/>
        </w:rPr>
      </w:pPr>
      <w:r>
        <w:rPr>
          <w:szCs w:val="24"/>
        </w:rPr>
        <w:lastRenderedPageBreak/>
        <w:t>p</w:t>
      </w:r>
      <w:r w:rsidR="00924C20" w:rsidRPr="00BA1430">
        <w:rPr>
          <w:szCs w:val="24"/>
        </w:rPr>
        <w:t>õhitegevuse tulem peab kasvama;</w:t>
      </w:r>
    </w:p>
    <w:p w:rsidR="00924C20" w:rsidRPr="00BA1430" w:rsidRDefault="00E50EEE" w:rsidP="009B7E8F">
      <w:pPr>
        <w:pStyle w:val="Loendilik"/>
        <w:numPr>
          <w:ilvl w:val="0"/>
          <w:numId w:val="2"/>
        </w:numPr>
        <w:rPr>
          <w:szCs w:val="24"/>
        </w:rPr>
      </w:pPr>
      <w:r>
        <w:rPr>
          <w:szCs w:val="24"/>
        </w:rPr>
        <w:t>p</w:t>
      </w:r>
      <w:r w:rsidR="00BF27F9" w:rsidRPr="00BA1430">
        <w:rPr>
          <w:szCs w:val="24"/>
        </w:rPr>
        <w:t>õhitegevuse tulem peab t</w:t>
      </w:r>
      <w:r w:rsidR="00924C20" w:rsidRPr="00BA1430">
        <w:rPr>
          <w:szCs w:val="24"/>
        </w:rPr>
        <w:t>agama omafinantseerimise võimekuse koefitsiendi kasvu eelarve</w:t>
      </w:r>
      <w:r w:rsidR="00BF27F9" w:rsidRPr="00BA1430">
        <w:rPr>
          <w:szCs w:val="24"/>
        </w:rPr>
        <w:t>strateegia perioodi lõpuks 1,05;</w:t>
      </w:r>
    </w:p>
    <w:p w:rsidR="00266607" w:rsidRPr="00BA1430" w:rsidRDefault="00E50EEE" w:rsidP="009B7E8F">
      <w:pPr>
        <w:pStyle w:val="Loendilik"/>
        <w:numPr>
          <w:ilvl w:val="0"/>
          <w:numId w:val="2"/>
        </w:numPr>
        <w:rPr>
          <w:szCs w:val="24"/>
        </w:rPr>
      </w:pPr>
      <w:r>
        <w:rPr>
          <w:szCs w:val="24"/>
        </w:rPr>
        <w:t>j</w:t>
      </w:r>
      <w:r w:rsidR="00A63708" w:rsidRPr="00BA1430">
        <w:rPr>
          <w:szCs w:val="24"/>
        </w:rPr>
        <w:t xml:space="preserve">ärgida fiskaalpoliitilist põhimõtet, et: „heal ajal“ </w:t>
      </w:r>
      <w:r w:rsidR="00BF27F9" w:rsidRPr="00BA1430">
        <w:rPr>
          <w:szCs w:val="24"/>
        </w:rPr>
        <w:t xml:space="preserve">tuleb </w:t>
      </w:r>
      <w:r w:rsidR="00A63708" w:rsidRPr="00BA1430">
        <w:rPr>
          <w:szCs w:val="24"/>
        </w:rPr>
        <w:t xml:space="preserve">korjata reserve. </w:t>
      </w:r>
    </w:p>
    <w:p w:rsidR="00266607" w:rsidRDefault="00A63708" w:rsidP="009B7E8F">
      <w:pPr>
        <w:spacing w:line="276" w:lineRule="auto"/>
        <w:rPr>
          <w:lang w:val="et-EE"/>
        </w:rPr>
      </w:pPr>
      <w:r w:rsidRPr="00BA1430">
        <w:rPr>
          <w:lang w:val="et-EE"/>
        </w:rPr>
        <w:t xml:space="preserve">Eelarvestrateegias on </w:t>
      </w:r>
      <w:r w:rsidR="00266607" w:rsidRPr="00BA1430">
        <w:rPr>
          <w:lang w:val="et-EE"/>
        </w:rPr>
        <w:t>nimetatud eesmärke järgitud</w:t>
      </w:r>
      <w:r w:rsidRPr="00BA1430">
        <w:rPr>
          <w:lang w:val="et-EE"/>
        </w:rPr>
        <w:t>.</w:t>
      </w:r>
    </w:p>
    <w:p w:rsidR="00E50EEE" w:rsidRPr="00BA1430" w:rsidRDefault="00E50EEE" w:rsidP="009B7E8F">
      <w:pPr>
        <w:spacing w:line="276" w:lineRule="auto"/>
        <w:rPr>
          <w:lang w:val="et-EE"/>
        </w:rPr>
      </w:pPr>
    </w:p>
    <w:p w:rsidR="00266607" w:rsidRPr="00BA1430" w:rsidRDefault="00266607" w:rsidP="00266607">
      <w:pPr>
        <w:rPr>
          <w:lang w:val="et-EE"/>
        </w:rPr>
      </w:pPr>
    </w:p>
    <w:p w:rsidR="008513EC" w:rsidRPr="00BA1430" w:rsidRDefault="00A97DB4" w:rsidP="00266607">
      <w:pPr>
        <w:pStyle w:val="Pealkiri1"/>
        <w:rPr>
          <w:color w:val="auto"/>
          <w:sz w:val="28"/>
        </w:rPr>
      </w:pPr>
      <w:bookmarkStart w:id="20" w:name="_Toc521395306"/>
      <w:r w:rsidRPr="00BA1430">
        <w:rPr>
          <w:color w:val="auto"/>
          <w:sz w:val="28"/>
        </w:rPr>
        <w:t>7. Arvestusüksuse võlakoorem</w:t>
      </w:r>
      <w:bookmarkEnd w:id="20"/>
      <w:r w:rsidRPr="00BA1430">
        <w:rPr>
          <w:color w:val="auto"/>
          <w:sz w:val="28"/>
        </w:rPr>
        <w:t xml:space="preserve"> </w:t>
      </w:r>
    </w:p>
    <w:p w:rsidR="008513EC" w:rsidRPr="00025237" w:rsidRDefault="008513EC" w:rsidP="008513EC">
      <w:pPr>
        <w:rPr>
          <w:b/>
          <w:lang w:val="et-EE"/>
        </w:rPr>
      </w:pPr>
    </w:p>
    <w:p w:rsidR="008513EC" w:rsidRPr="00BA1430" w:rsidRDefault="00266607" w:rsidP="008513EC">
      <w:pPr>
        <w:rPr>
          <w:lang w:val="et-EE"/>
        </w:rPr>
      </w:pPr>
      <w:r w:rsidRPr="00BA1430">
        <w:rPr>
          <w:lang w:val="et-EE"/>
        </w:rPr>
        <w:t>Viru-Nigula valla netovõlakoormuse prognoos on esitatud tabelis 14.</w:t>
      </w:r>
    </w:p>
    <w:p w:rsidR="009B7E8F" w:rsidRDefault="009B7E8F" w:rsidP="008513EC">
      <w:pPr>
        <w:rPr>
          <w:rFonts w:ascii="Verdana" w:hAnsi="Verdana"/>
          <w:sz w:val="22"/>
          <w:szCs w:val="22"/>
          <w:lang w:val="et-EE"/>
        </w:rPr>
      </w:pPr>
    </w:p>
    <w:tbl>
      <w:tblPr>
        <w:tblW w:w="9346" w:type="dxa"/>
        <w:tblCellMar>
          <w:left w:w="70" w:type="dxa"/>
          <w:right w:w="70" w:type="dxa"/>
        </w:tblCellMar>
        <w:tblLook w:val="04A0" w:firstRow="1" w:lastRow="0" w:firstColumn="1" w:lastColumn="0" w:noHBand="0" w:noVBand="1"/>
      </w:tblPr>
      <w:tblGrid>
        <w:gridCol w:w="2117"/>
        <w:gridCol w:w="1134"/>
        <w:gridCol w:w="1134"/>
        <w:gridCol w:w="992"/>
        <w:gridCol w:w="992"/>
        <w:gridCol w:w="992"/>
        <w:gridCol w:w="993"/>
        <w:gridCol w:w="992"/>
      </w:tblGrid>
      <w:tr w:rsidR="00062127" w:rsidRPr="00062127" w:rsidTr="00341EE2">
        <w:trPr>
          <w:trHeight w:val="1095"/>
        </w:trPr>
        <w:tc>
          <w:tcPr>
            <w:tcW w:w="2117" w:type="dxa"/>
            <w:tcBorders>
              <w:top w:val="single" w:sz="8" w:space="0" w:color="000000"/>
              <w:left w:val="single" w:sz="8" w:space="0" w:color="000000"/>
              <w:bottom w:val="single" w:sz="8" w:space="0" w:color="000000"/>
              <w:right w:val="nil"/>
            </w:tcBorders>
            <w:shd w:val="clear" w:color="auto" w:fill="D6E3BC" w:themeFill="accent3" w:themeFillTint="66"/>
            <w:vAlign w:val="bottom"/>
            <w:hideMark/>
          </w:tcPr>
          <w:p w:rsidR="00062127" w:rsidRPr="00062127" w:rsidRDefault="00062127" w:rsidP="00062127">
            <w:pPr>
              <w:jc w:val="center"/>
              <w:rPr>
                <w:rFonts w:ascii="Arial" w:hAnsi="Arial" w:cs="Arial"/>
                <w:b/>
                <w:bCs/>
                <w:sz w:val="16"/>
                <w:szCs w:val="16"/>
                <w:lang w:val="et-EE" w:eastAsia="et-EE"/>
              </w:rPr>
            </w:pPr>
            <w:r w:rsidRPr="00062127">
              <w:rPr>
                <w:rFonts w:ascii="Arial" w:hAnsi="Arial" w:cs="Arial"/>
                <w:b/>
                <w:bCs/>
                <w:sz w:val="16"/>
                <w:szCs w:val="16"/>
                <w:lang w:val="et-EE" w:eastAsia="et-EE"/>
              </w:rPr>
              <w:t>Viru - Nigula vald määruse nr... ja kuupäev</w:t>
            </w:r>
          </w:p>
        </w:tc>
        <w:tc>
          <w:tcPr>
            <w:tcW w:w="113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bottom"/>
            <w:hideMark/>
          </w:tcPr>
          <w:p w:rsidR="00062127" w:rsidRPr="00062127" w:rsidRDefault="00062127" w:rsidP="00062127">
            <w:pPr>
              <w:jc w:val="center"/>
              <w:rPr>
                <w:rFonts w:ascii="Arial" w:hAnsi="Arial" w:cs="Arial"/>
                <w:b/>
                <w:bCs/>
                <w:sz w:val="16"/>
                <w:szCs w:val="16"/>
                <w:lang w:val="et-EE" w:eastAsia="et-EE"/>
              </w:rPr>
            </w:pPr>
            <w:r w:rsidRPr="00062127">
              <w:rPr>
                <w:rFonts w:ascii="Arial" w:hAnsi="Arial" w:cs="Arial"/>
                <w:b/>
                <w:bCs/>
                <w:sz w:val="16"/>
                <w:szCs w:val="16"/>
                <w:lang w:val="et-EE" w:eastAsia="et-EE"/>
              </w:rPr>
              <w:t>2017 täitmine</w:t>
            </w:r>
          </w:p>
        </w:tc>
        <w:tc>
          <w:tcPr>
            <w:tcW w:w="1134"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062127" w:rsidRPr="00062127" w:rsidRDefault="00062127" w:rsidP="00062127">
            <w:pPr>
              <w:jc w:val="center"/>
              <w:rPr>
                <w:rFonts w:ascii="Arial" w:hAnsi="Arial" w:cs="Arial"/>
                <w:b/>
                <w:bCs/>
                <w:sz w:val="16"/>
                <w:szCs w:val="16"/>
                <w:lang w:val="et-EE" w:eastAsia="et-EE"/>
              </w:rPr>
            </w:pPr>
            <w:r w:rsidRPr="00062127">
              <w:rPr>
                <w:rFonts w:ascii="Arial" w:hAnsi="Arial" w:cs="Arial"/>
                <w:b/>
                <w:bCs/>
                <w:sz w:val="16"/>
                <w:szCs w:val="16"/>
                <w:lang w:val="et-EE" w:eastAsia="et-EE"/>
              </w:rPr>
              <w:t>2018 eeldatav täitmine</w:t>
            </w:r>
          </w:p>
        </w:tc>
        <w:tc>
          <w:tcPr>
            <w:tcW w:w="99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062127" w:rsidRPr="00062127" w:rsidRDefault="00062127" w:rsidP="00062127">
            <w:pPr>
              <w:jc w:val="center"/>
              <w:rPr>
                <w:rFonts w:ascii="Arial" w:hAnsi="Arial" w:cs="Arial"/>
                <w:b/>
                <w:bCs/>
                <w:sz w:val="16"/>
                <w:szCs w:val="16"/>
                <w:lang w:val="et-EE" w:eastAsia="et-EE"/>
              </w:rPr>
            </w:pPr>
            <w:r w:rsidRPr="00062127">
              <w:rPr>
                <w:rFonts w:ascii="Arial" w:hAnsi="Arial" w:cs="Arial"/>
                <w:b/>
                <w:bCs/>
                <w:sz w:val="16"/>
                <w:szCs w:val="16"/>
                <w:lang w:val="et-EE" w:eastAsia="et-EE"/>
              </w:rPr>
              <w:t xml:space="preserve">2019 eelarve  </w:t>
            </w:r>
          </w:p>
        </w:tc>
        <w:tc>
          <w:tcPr>
            <w:tcW w:w="99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062127" w:rsidRPr="00062127" w:rsidRDefault="00062127" w:rsidP="00062127">
            <w:pPr>
              <w:jc w:val="center"/>
              <w:rPr>
                <w:rFonts w:ascii="Arial" w:hAnsi="Arial" w:cs="Arial"/>
                <w:b/>
                <w:bCs/>
                <w:sz w:val="16"/>
                <w:szCs w:val="16"/>
                <w:lang w:val="et-EE" w:eastAsia="et-EE"/>
              </w:rPr>
            </w:pPr>
            <w:r w:rsidRPr="00062127">
              <w:rPr>
                <w:rFonts w:ascii="Arial" w:hAnsi="Arial" w:cs="Arial"/>
                <w:b/>
                <w:bCs/>
                <w:sz w:val="16"/>
                <w:szCs w:val="16"/>
                <w:lang w:val="et-EE" w:eastAsia="et-EE"/>
              </w:rPr>
              <w:t xml:space="preserve">2020 eelarve  </w:t>
            </w:r>
          </w:p>
        </w:tc>
        <w:tc>
          <w:tcPr>
            <w:tcW w:w="992"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062127" w:rsidRPr="00062127" w:rsidRDefault="00062127" w:rsidP="00062127">
            <w:pPr>
              <w:jc w:val="center"/>
              <w:rPr>
                <w:rFonts w:ascii="Arial" w:hAnsi="Arial" w:cs="Arial"/>
                <w:b/>
                <w:bCs/>
                <w:sz w:val="16"/>
                <w:szCs w:val="16"/>
                <w:lang w:val="et-EE" w:eastAsia="et-EE"/>
              </w:rPr>
            </w:pPr>
            <w:r w:rsidRPr="00062127">
              <w:rPr>
                <w:rFonts w:ascii="Arial" w:hAnsi="Arial" w:cs="Arial"/>
                <w:b/>
                <w:bCs/>
                <w:sz w:val="16"/>
                <w:szCs w:val="16"/>
                <w:lang w:val="et-EE" w:eastAsia="et-EE"/>
              </w:rPr>
              <w:t xml:space="preserve">2021 eelarve  </w:t>
            </w:r>
          </w:p>
        </w:tc>
        <w:tc>
          <w:tcPr>
            <w:tcW w:w="993" w:type="dxa"/>
            <w:tcBorders>
              <w:top w:val="single" w:sz="4" w:space="0" w:color="auto"/>
              <w:left w:val="nil"/>
              <w:bottom w:val="single" w:sz="4" w:space="0" w:color="auto"/>
              <w:right w:val="single" w:sz="4" w:space="0" w:color="auto"/>
            </w:tcBorders>
            <w:shd w:val="clear" w:color="auto" w:fill="D6E3BC" w:themeFill="accent3" w:themeFillTint="66"/>
            <w:vAlign w:val="bottom"/>
            <w:hideMark/>
          </w:tcPr>
          <w:p w:rsidR="00062127" w:rsidRPr="00062127" w:rsidRDefault="00062127" w:rsidP="00062127">
            <w:pPr>
              <w:jc w:val="center"/>
              <w:rPr>
                <w:rFonts w:ascii="Arial" w:hAnsi="Arial" w:cs="Arial"/>
                <w:b/>
                <w:bCs/>
                <w:sz w:val="16"/>
                <w:szCs w:val="16"/>
                <w:lang w:val="et-EE" w:eastAsia="et-EE"/>
              </w:rPr>
            </w:pPr>
            <w:r w:rsidRPr="00062127">
              <w:rPr>
                <w:rFonts w:ascii="Arial" w:hAnsi="Arial" w:cs="Arial"/>
                <w:b/>
                <w:bCs/>
                <w:sz w:val="16"/>
                <w:szCs w:val="16"/>
                <w:lang w:val="et-EE" w:eastAsia="et-EE"/>
              </w:rPr>
              <w:t xml:space="preserve">2022 eelarve  </w:t>
            </w:r>
          </w:p>
        </w:tc>
        <w:tc>
          <w:tcPr>
            <w:tcW w:w="992" w:type="dxa"/>
            <w:tcBorders>
              <w:top w:val="single" w:sz="8" w:space="0" w:color="000000"/>
              <w:left w:val="nil"/>
              <w:bottom w:val="single" w:sz="8" w:space="0" w:color="000000"/>
              <w:right w:val="single" w:sz="4" w:space="0" w:color="000000"/>
            </w:tcBorders>
            <w:shd w:val="clear" w:color="auto" w:fill="D6E3BC" w:themeFill="accent3" w:themeFillTint="66"/>
            <w:vAlign w:val="bottom"/>
            <w:hideMark/>
          </w:tcPr>
          <w:p w:rsidR="00062127" w:rsidRPr="00062127" w:rsidRDefault="00062127" w:rsidP="00062127">
            <w:pPr>
              <w:jc w:val="center"/>
              <w:rPr>
                <w:rFonts w:ascii="Arial" w:hAnsi="Arial" w:cs="Arial"/>
                <w:b/>
                <w:bCs/>
                <w:sz w:val="16"/>
                <w:szCs w:val="16"/>
                <w:lang w:val="et-EE" w:eastAsia="et-EE"/>
              </w:rPr>
            </w:pPr>
            <w:r w:rsidRPr="00062127">
              <w:rPr>
                <w:rFonts w:ascii="Arial" w:hAnsi="Arial" w:cs="Arial"/>
                <w:b/>
                <w:bCs/>
                <w:sz w:val="16"/>
                <w:szCs w:val="16"/>
                <w:lang w:val="et-EE" w:eastAsia="et-EE"/>
              </w:rPr>
              <w:t xml:space="preserve">2023 eelarve  </w:t>
            </w:r>
          </w:p>
        </w:tc>
      </w:tr>
      <w:tr w:rsidR="00062127" w:rsidRPr="007C4C4A" w:rsidTr="007C4C4A">
        <w:trPr>
          <w:trHeight w:val="225"/>
        </w:trPr>
        <w:tc>
          <w:tcPr>
            <w:tcW w:w="2117" w:type="dxa"/>
            <w:tcBorders>
              <w:top w:val="single" w:sz="4" w:space="0" w:color="000000"/>
              <w:left w:val="single" w:sz="8" w:space="0" w:color="000000"/>
              <w:bottom w:val="single" w:sz="4" w:space="0" w:color="000000"/>
              <w:right w:val="nil"/>
            </w:tcBorders>
            <w:shd w:val="clear" w:color="auto" w:fill="FFFFFF" w:themeFill="background1"/>
            <w:vAlign w:val="bottom"/>
            <w:hideMark/>
          </w:tcPr>
          <w:p w:rsidR="00062127" w:rsidRPr="007C4C4A" w:rsidRDefault="00062127" w:rsidP="00062127">
            <w:pPr>
              <w:rPr>
                <w:rFonts w:ascii="Arial" w:hAnsi="Arial" w:cs="Arial"/>
                <w:b/>
                <w:bCs/>
                <w:sz w:val="16"/>
                <w:szCs w:val="16"/>
                <w:lang w:val="et-EE" w:eastAsia="et-EE"/>
              </w:rPr>
            </w:pPr>
            <w:r w:rsidRPr="007C4C4A">
              <w:rPr>
                <w:rFonts w:ascii="Arial" w:hAnsi="Arial" w:cs="Arial"/>
                <w:b/>
                <w:bCs/>
                <w:sz w:val="16"/>
                <w:szCs w:val="16"/>
                <w:lang w:val="et-EE" w:eastAsia="et-EE"/>
              </w:rPr>
              <w:t>Võlakohustused kokku aasta lõpu seisuga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1 293 045</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1 451 045</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2 851 045</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3 101 045</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3 201 045</w:t>
            </w:r>
          </w:p>
        </w:tc>
        <w:tc>
          <w:tcPr>
            <w:tcW w:w="993"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3 201 045</w:t>
            </w:r>
          </w:p>
        </w:tc>
        <w:tc>
          <w:tcPr>
            <w:tcW w:w="992" w:type="dxa"/>
            <w:tcBorders>
              <w:top w:val="single" w:sz="4" w:space="0" w:color="000000"/>
              <w:left w:val="nil"/>
              <w:bottom w:val="single" w:sz="4" w:space="0" w:color="000000"/>
              <w:right w:val="single" w:sz="8" w:space="0" w:color="000000"/>
            </w:tcBorders>
            <w:shd w:val="clear" w:color="auto" w:fill="FFFFFF" w:themeFill="background1"/>
            <w:noWrap/>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2 851 045</w:t>
            </w:r>
          </w:p>
        </w:tc>
      </w:tr>
      <w:tr w:rsidR="00062127" w:rsidRPr="007C4C4A" w:rsidTr="007C4C4A">
        <w:trPr>
          <w:trHeight w:val="465"/>
        </w:trPr>
        <w:tc>
          <w:tcPr>
            <w:tcW w:w="2117" w:type="dxa"/>
            <w:tcBorders>
              <w:top w:val="nil"/>
              <w:left w:val="single" w:sz="8" w:space="0" w:color="000000"/>
              <w:bottom w:val="single" w:sz="4" w:space="0" w:color="auto"/>
              <w:right w:val="nil"/>
            </w:tcBorders>
            <w:shd w:val="clear" w:color="auto" w:fill="FFFFFF" w:themeFill="background1"/>
            <w:vAlign w:val="bottom"/>
            <w:hideMark/>
          </w:tcPr>
          <w:p w:rsidR="00062127" w:rsidRPr="007C4C4A" w:rsidRDefault="00062127" w:rsidP="00062127">
            <w:pPr>
              <w:rPr>
                <w:rFonts w:ascii="Arial" w:hAnsi="Arial" w:cs="Arial"/>
                <w:sz w:val="16"/>
                <w:szCs w:val="16"/>
                <w:lang w:val="et-EE" w:eastAsia="et-EE"/>
              </w:rPr>
            </w:pPr>
            <w:r w:rsidRPr="007C4C4A">
              <w:rPr>
                <w:rFonts w:ascii="Arial" w:hAnsi="Arial" w:cs="Arial"/>
                <w:sz w:val="16"/>
                <w:szCs w:val="16"/>
                <w:lang w:val="et-EE" w:eastAsia="et-EE"/>
              </w:rPr>
              <w:t xml:space="preserve">    sh kohustused, mis  ei kajastu finantseerimistegevuses</w:t>
            </w:r>
          </w:p>
        </w:tc>
        <w:tc>
          <w:tcPr>
            <w:tcW w:w="1134"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 </w:t>
            </w:r>
          </w:p>
        </w:tc>
        <w:tc>
          <w:tcPr>
            <w:tcW w:w="1134" w:type="dxa"/>
            <w:tcBorders>
              <w:top w:val="nil"/>
              <w:left w:val="nil"/>
              <w:bottom w:val="single" w:sz="4" w:space="0" w:color="auto"/>
              <w:right w:val="single" w:sz="4" w:space="0" w:color="auto"/>
            </w:tcBorders>
            <w:shd w:val="clear" w:color="auto" w:fill="FFFFFF" w:themeFill="background1"/>
            <w:noWrap/>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 </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 </w:t>
            </w:r>
          </w:p>
        </w:tc>
        <w:tc>
          <w:tcPr>
            <w:tcW w:w="993" w:type="dxa"/>
            <w:tcBorders>
              <w:top w:val="nil"/>
              <w:left w:val="nil"/>
              <w:bottom w:val="single" w:sz="4" w:space="0" w:color="auto"/>
              <w:right w:val="single" w:sz="4" w:space="0" w:color="auto"/>
            </w:tcBorders>
            <w:shd w:val="clear" w:color="auto" w:fill="FFFFFF" w:themeFill="background1"/>
            <w:noWrap/>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 </w:t>
            </w:r>
          </w:p>
        </w:tc>
        <w:tc>
          <w:tcPr>
            <w:tcW w:w="992" w:type="dxa"/>
            <w:tcBorders>
              <w:top w:val="nil"/>
              <w:left w:val="nil"/>
              <w:bottom w:val="single" w:sz="4" w:space="0" w:color="auto"/>
              <w:right w:val="single" w:sz="8" w:space="0" w:color="000000"/>
            </w:tcBorders>
            <w:shd w:val="clear" w:color="auto" w:fill="FFFFFF" w:themeFill="background1"/>
            <w:noWrap/>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 </w:t>
            </w:r>
          </w:p>
        </w:tc>
      </w:tr>
      <w:tr w:rsidR="00062127" w:rsidRPr="007C4C4A" w:rsidTr="007C4C4A">
        <w:trPr>
          <w:trHeight w:val="450"/>
        </w:trPr>
        <w:tc>
          <w:tcPr>
            <w:tcW w:w="2117" w:type="dxa"/>
            <w:tcBorders>
              <w:top w:val="single" w:sz="4" w:space="0" w:color="auto"/>
              <w:left w:val="single" w:sz="4" w:space="0" w:color="auto"/>
              <w:bottom w:val="single" w:sz="4" w:space="0" w:color="auto"/>
              <w:right w:val="nil"/>
            </w:tcBorders>
            <w:shd w:val="clear" w:color="auto" w:fill="FFFFFF" w:themeFill="background1"/>
            <w:vAlign w:val="bottom"/>
            <w:hideMark/>
          </w:tcPr>
          <w:p w:rsidR="00062127" w:rsidRPr="007C4C4A" w:rsidRDefault="00062127" w:rsidP="00062127">
            <w:pPr>
              <w:rPr>
                <w:rFonts w:ascii="Arial" w:hAnsi="Arial" w:cs="Arial"/>
                <w:sz w:val="16"/>
                <w:szCs w:val="16"/>
                <w:lang w:val="et-EE" w:eastAsia="et-EE"/>
              </w:rPr>
            </w:pPr>
            <w:r w:rsidRPr="007C4C4A">
              <w:rPr>
                <w:rFonts w:ascii="Arial" w:hAnsi="Arial" w:cs="Arial"/>
                <w:sz w:val="16"/>
                <w:szCs w:val="16"/>
                <w:lang w:val="et-EE" w:eastAsia="et-EE"/>
              </w:rPr>
              <w:t xml:space="preserve">    sh kohustused, mille võrra võib ületada netovõlakoormuse piirmäära</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0</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0</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062127" w:rsidRPr="007C4C4A" w:rsidRDefault="00062127" w:rsidP="00062127">
            <w:pPr>
              <w:rPr>
                <w:rFonts w:ascii="Arial" w:hAnsi="Arial" w:cs="Arial"/>
                <w:sz w:val="16"/>
                <w:szCs w:val="16"/>
                <w:lang w:val="et-EE" w:eastAsia="et-EE"/>
              </w:rPr>
            </w:pPr>
            <w:r w:rsidRPr="007C4C4A">
              <w:rPr>
                <w:rFonts w:ascii="Arial" w:hAnsi="Arial" w:cs="Arial"/>
                <w:sz w:val="16"/>
                <w:szCs w:val="16"/>
                <w:lang w:val="et-EE" w:eastAsia="et-EE"/>
              </w:rPr>
              <w:t> </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062127" w:rsidRPr="007C4C4A" w:rsidRDefault="00062127" w:rsidP="00062127">
            <w:pPr>
              <w:rPr>
                <w:rFonts w:ascii="Arial" w:hAnsi="Arial" w:cs="Arial"/>
                <w:sz w:val="16"/>
                <w:szCs w:val="16"/>
                <w:lang w:val="et-EE" w:eastAsia="et-EE"/>
              </w:rPr>
            </w:pPr>
            <w:r w:rsidRPr="007C4C4A">
              <w:rPr>
                <w:rFonts w:ascii="Arial" w:hAnsi="Arial" w:cs="Arial"/>
                <w:sz w:val="16"/>
                <w:szCs w:val="16"/>
                <w:lang w:val="et-EE" w:eastAsia="et-EE"/>
              </w:rPr>
              <w:t> </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062127" w:rsidRPr="007C4C4A" w:rsidRDefault="00062127" w:rsidP="00062127">
            <w:pPr>
              <w:rPr>
                <w:rFonts w:ascii="Arial" w:hAnsi="Arial" w:cs="Arial"/>
                <w:sz w:val="16"/>
                <w:szCs w:val="16"/>
                <w:lang w:val="et-EE" w:eastAsia="et-EE"/>
              </w:rPr>
            </w:pPr>
            <w:r w:rsidRPr="007C4C4A">
              <w:rPr>
                <w:rFonts w:ascii="Arial" w:hAnsi="Arial" w:cs="Arial"/>
                <w:sz w:val="16"/>
                <w:szCs w:val="16"/>
                <w:lang w:val="et-EE" w:eastAsia="et-EE"/>
              </w:rPr>
              <w:t> </w:t>
            </w:r>
          </w:p>
        </w:tc>
        <w:tc>
          <w:tcPr>
            <w:tcW w:w="993"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062127" w:rsidRPr="007C4C4A" w:rsidRDefault="00062127" w:rsidP="00062127">
            <w:pPr>
              <w:rPr>
                <w:rFonts w:ascii="Arial" w:hAnsi="Arial" w:cs="Arial"/>
                <w:sz w:val="16"/>
                <w:szCs w:val="16"/>
                <w:lang w:val="et-EE" w:eastAsia="et-EE"/>
              </w:rPr>
            </w:pPr>
            <w:r w:rsidRPr="007C4C4A">
              <w:rPr>
                <w:rFonts w:ascii="Arial" w:hAnsi="Arial" w:cs="Arial"/>
                <w:sz w:val="16"/>
                <w:szCs w:val="16"/>
                <w:lang w:val="et-EE" w:eastAsia="et-EE"/>
              </w:rPr>
              <w:t> </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062127" w:rsidRPr="007C4C4A" w:rsidRDefault="00062127" w:rsidP="00062127">
            <w:pPr>
              <w:rPr>
                <w:rFonts w:ascii="Arial" w:hAnsi="Arial" w:cs="Arial"/>
                <w:sz w:val="16"/>
                <w:szCs w:val="16"/>
                <w:lang w:val="et-EE" w:eastAsia="et-EE"/>
              </w:rPr>
            </w:pPr>
            <w:r w:rsidRPr="007C4C4A">
              <w:rPr>
                <w:rFonts w:ascii="Arial" w:hAnsi="Arial" w:cs="Arial"/>
                <w:sz w:val="16"/>
                <w:szCs w:val="16"/>
                <w:lang w:val="et-EE" w:eastAsia="et-EE"/>
              </w:rPr>
              <w:t> </w:t>
            </w:r>
          </w:p>
        </w:tc>
      </w:tr>
      <w:tr w:rsidR="00062127" w:rsidRPr="007C4C4A" w:rsidTr="007C4C4A">
        <w:trPr>
          <w:trHeight w:val="225"/>
        </w:trPr>
        <w:tc>
          <w:tcPr>
            <w:tcW w:w="2117" w:type="dxa"/>
            <w:tcBorders>
              <w:top w:val="single" w:sz="4" w:space="0" w:color="auto"/>
              <w:left w:val="single" w:sz="8" w:space="0" w:color="000000"/>
              <w:bottom w:val="single" w:sz="4" w:space="0" w:color="000000"/>
              <w:right w:val="nil"/>
            </w:tcBorders>
            <w:shd w:val="clear" w:color="auto" w:fill="FFFFFF" w:themeFill="background1"/>
            <w:vAlign w:val="bottom"/>
            <w:hideMark/>
          </w:tcPr>
          <w:p w:rsidR="00062127" w:rsidRPr="007C4C4A" w:rsidRDefault="00062127" w:rsidP="00062127">
            <w:pPr>
              <w:rPr>
                <w:rFonts w:ascii="Arial" w:hAnsi="Arial" w:cs="Arial"/>
                <w:b/>
                <w:bCs/>
                <w:sz w:val="16"/>
                <w:szCs w:val="16"/>
                <w:lang w:val="et-EE" w:eastAsia="et-EE"/>
              </w:rPr>
            </w:pPr>
            <w:r w:rsidRPr="007C4C4A">
              <w:rPr>
                <w:rFonts w:ascii="Arial" w:hAnsi="Arial" w:cs="Arial"/>
                <w:b/>
                <w:bCs/>
                <w:sz w:val="16"/>
                <w:szCs w:val="16"/>
                <w:lang w:val="et-EE" w:eastAsia="et-EE"/>
              </w:rPr>
              <w:t>Netovõlakoormus (eurodes)</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964 791</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1 031 010</w:t>
            </w:r>
          </w:p>
        </w:tc>
        <w:tc>
          <w:tcPr>
            <w:tcW w:w="992" w:type="dxa"/>
            <w:tcBorders>
              <w:top w:val="single" w:sz="4" w:space="0" w:color="auto"/>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2 455 490</w:t>
            </w:r>
          </w:p>
        </w:tc>
        <w:tc>
          <w:tcPr>
            <w:tcW w:w="992" w:type="dxa"/>
            <w:tcBorders>
              <w:top w:val="single" w:sz="4" w:space="0" w:color="auto"/>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2 760 480</w:t>
            </w:r>
          </w:p>
        </w:tc>
        <w:tc>
          <w:tcPr>
            <w:tcW w:w="992" w:type="dxa"/>
            <w:tcBorders>
              <w:top w:val="single" w:sz="4" w:space="0" w:color="auto"/>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2 813 119</w:t>
            </w:r>
          </w:p>
        </w:tc>
        <w:tc>
          <w:tcPr>
            <w:tcW w:w="993" w:type="dxa"/>
            <w:tcBorders>
              <w:top w:val="single" w:sz="4" w:space="0" w:color="auto"/>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2 774 692</w:t>
            </w:r>
          </w:p>
        </w:tc>
        <w:tc>
          <w:tcPr>
            <w:tcW w:w="992" w:type="dxa"/>
            <w:tcBorders>
              <w:top w:val="single" w:sz="4" w:space="0" w:color="auto"/>
              <w:left w:val="nil"/>
              <w:bottom w:val="single" w:sz="4" w:space="0" w:color="000000"/>
              <w:right w:val="single" w:sz="8" w:space="0" w:color="000000"/>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2 496 337</w:t>
            </w:r>
          </w:p>
        </w:tc>
      </w:tr>
      <w:tr w:rsidR="00062127" w:rsidRPr="007C4C4A" w:rsidTr="007C4C4A">
        <w:trPr>
          <w:trHeight w:val="225"/>
        </w:trPr>
        <w:tc>
          <w:tcPr>
            <w:tcW w:w="2117" w:type="dxa"/>
            <w:tcBorders>
              <w:top w:val="nil"/>
              <w:left w:val="single" w:sz="8" w:space="0" w:color="000000"/>
              <w:bottom w:val="single" w:sz="4" w:space="0" w:color="000000"/>
              <w:right w:val="nil"/>
            </w:tcBorders>
            <w:shd w:val="clear" w:color="auto" w:fill="FFFFFF" w:themeFill="background1"/>
            <w:vAlign w:val="bottom"/>
            <w:hideMark/>
          </w:tcPr>
          <w:p w:rsidR="00062127" w:rsidRPr="007C4C4A" w:rsidRDefault="00062127" w:rsidP="00062127">
            <w:pPr>
              <w:rPr>
                <w:rFonts w:ascii="Arial" w:hAnsi="Arial" w:cs="Arial"/>
                <w:b/>
                <w:bCs/>
                <w:sz w:val="16"/>
                <w:szCs w:val="16"/>
                <w:lang w:val="et-EE" w:eastAsia="et-EE"/>
              </w:rPr>
            </w:pPr>
            <w:r w:rsidRPr="007C4C4A">
              <w:rPr>
                <w:rFonts w:ascii="Arial" w:hAnsi="Arial" w:cs="Arial"/>
                <w:b/>
                <w:bCs/>
                <w:sz w:val="16"/>
                <w:szCs w:val="16"/>
                <w:lang w:val="et-EE" w:eastAsia="et-EE"/>
              </w:rPr>
              <w:t>Netovõlakoormus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12,6%</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12,5%</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29,0%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32,6%</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32,7%</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31,7%</w:t>
            </w:r>
          </w:p>
        </w:tc>
        <w:tc>
          <w:tcPr>
            <w:tcW w:w="992" w:type="dxa"/>
            <w:tcBorders>
              <w:top w:val="nil"/>
              <w:left w:val="nil"/>
              <w:bottom w:val="single" w:sz="4" w:space="0" w:color="000000"/>
              <w:right w:val="single" w:sz="8" w:space="0" w:color="000000"/>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28,1%</w:t>
            </w:r>
          </w:p>
        </w:tc>
      </w:tr>
      <w:tr w:rsidR="00062127" w:rsidRPr="007C4C4A" w:rsidTr="007C4C4A">
        <w:trPr>
          <w:trHeight w:val="225"/>
        </w:trPr>
        <w:tc>
          <w:tcPr>
            <w:tcW w:w="2117" w:type="dxa"/>
            <w:tcBorders>
              <w:top w:val="nil"/>
              <w:left w:val="single" w:sz="8" w:space="0" w:color="000000"/>
              <w:bottom w:val="single" w:sz="4" w:space="0" w:color="000000"/>
              <w:right w:val="nil"/>
            </w:tcBorders>
            <w:shd w:val="clear" w:color="auto" w:fill="FFFFFF" w:themeFill="background1"/>
            <w:vAlign w:val="bottom"/>
            <w:hideMark/>
          </w:tcPr>
          <w:p w:rsidR="00062127" w:rsidRPr="007C4C4A" w:rsidRDefault="00062127" w:rsidP="00062127">
            <w:pPr>
              <w:rPr>
                <w:rFonts w:ascii="Arial" w:hAnsi="Arial" w:cs="Arial"/>
                <w:b/>
                <w:bCs/>
                <w:sz w:val="16"/>
                <w:szCs w:val="16"/>
                <w:lang w:val="et-EE" w:eastAsia="et-EE"/>
              </w:rPr>
            </w:pPr>
            <w:r w:rsidRPr="007C4C4A">
              <w:rPr>
                <w:rFonts w:ascii="Arial" w:hAnsi="Arial" w:cs="Arial"/>
                <w:b/>
                <w:bCs/>
                <w:sz w:val="16"/>
                <w:szCs w:val="16"/>
                <w:lang w:val="et-EE" w:eastAsia="et-EE"/>
              </w:rPr>
              <w:t>Netovõlakoormuse ülemmäär (eurodes)</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4 578 791</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4 964 486</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5 087 605</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5 075 502</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5 164 567</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5 249 977</w:t>
            </w:r>
          </w:p>
        </w:tc>
        <w:tc>
          <w:tcPr>
            <w:tcW w:w="992" w:type="dxa"/>
            <w:tcBorders>
              <w:top w:val="nil"/>
              <w:left w:val="nil"/>
              <w:bottom w:val="single" w:sz="4" w:space="0" w:color="000000"/>
              <w:right w:val="single" w:sz="8" w:space="0" w:color="000000"/>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5 333 013</w:t>
            </w:r>
          </w:p>
        </w:tc>
      </w:tr>
      <w:tr w:rsidR="00062127" w:rsidRPr="007C4C4A" w:rsidTr="007C4C4A">
        <w:trPr>
          <w:trHeight w:val="270"/>
        </w:trPr>
        <w:tc>
          <w:tcPr>
            <w:tcW w:w="2117" w:type="dxa"/>
            <w:tcBorders>
              <w:top w:val="nil"/>
              <w:left w:val="single" w:sz="8" w:space="0" w:color="000000"/>
              <w:bottom w:val="single" w:sz="4" w:space="0" w:color="000000"/>
              <w:right w:val="nil"/>
            </w:tcBorders>
            <w:shd w:val="clear" w:color="auto" w:fill="FFFFFF" w:themeFill="background1"/>
            <w:vAlign w:val="bottom"/>
            <w:hideMark/>
          </w:tcPr>
          <w:p w:rsidR="00062127" w:rsidRPr="007C4C4A" w:rsidRDefault="00062127" w:rsidP="00062127">
            <w:pPr>
              <w:rPr>
                <w:rFonts w:ascii="Arial" w:hAnsi="Arial" w:cs="Arial"/>
                <w:b/>
                <w:bCs/>
                <w:sz w:val="16"/>
                <w:szCs w:val="16"/>
                <w:lang w:val="et-EE" w:eastAsia="et-EE"/>
              </w:rPr>
            </w:pPr>
            <w:r w:rsidRPr="007C4C4A">
              <w:rPr>
                <w:rFonts w:ascii="Arial" w:hAnsi="Arial" w:cs="Arial"/>
                <w:b/>
                <w:bCs/>
                <w:sz w:val="16"/>
                <w:szCs w:val="16"/>
                <w:lang w:val="et-EE" w:eastAsia="et-EE"/>
              </w:rPr>
              <w:t>Netovõlakoormuse individuaalne ülemmäär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60,0%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60,0%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60,0%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60,0%</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60,0%</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60,0%</w:t>
            </w:r>
          </w:p>
        </w:tc>
        <w:tc>
          <w:tcPr>
            <w:tcW w:w="992" w:type="dxa"/>
            <w:tcBorders>
              <w:top w:val="nil"/>
              <w:left w:val="nil"/>
              <w:bottom w:val="single" w:sz="4" w:space="0" w:color="000000"/>
              <w:right w:val="single" w:sz="8" w:space="0" w:color="000000"/>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60,0%</w:t>
            </w:r>
          </w:p>
        </w:tc>
      </w:tr>
      <w:tr w:rsidR="00062127" w:rsidRPr="007C4C4A" w:rsidTr="007C4C4A">
        <w:trPr>
          <w:trHeight w:val="225"/>
        </w:trPr>
        <w:tc>
          <w:tcPr>
            <w:tcW w:w="2117" w:type="dxa"/>
            <w:tcBorders>
              <w:top w:val="nil"/>
              <w:left w:val="single" w:sz="8" w:space="0" w:color="000000"/>
              <w:bottom w:val="single" w:sz="4" w:space="0" w:color="000000"/>
              <w:right w:val="nil"/>
            </w:tcBorders>
            <w:shd w:val="clear" w:color="auto" w:fill="FFFFFF" w:themeFill="background1"/>
            <w:vAlign w:val="bottom"/>
            <w:hideMark/>
          </w:tcPr>
          <w:p w:rsidR="00062127" w:rsidRPr="007C4C4A" w:rsidRDefault="00062127" w:rsidP="00062127">
            <w:pPr>
              <w:rPr>
                <w:rFonts w:ascii="Arial" w:hAnsi="Arial" w:cs="Arial"/>
                <w:b/>
                <w:bCs/>
                <w:sz w:val="16"/>
                <w:szCs w:val="16"/>
                <w:lang w:val="et-EE" w:eastAsia="et-EE"/>
              </w:rPr>
            </w:pPr>
            <w:r w:rsidRPr="007C4C4A">
              <w:rPr>
                <w:rFonts w:ascii="Arial" w:hAnsi="Arial" w:cs="Arial"/>
                <w:b/>
                <w:bCs/>
                <w:sz w:val="16"/>
                <w:szCs w:val="16"/>
                <w:lang w:val="et-EE" w:eastAsia="et-EE"/>
              </w:rPr>
              <w:t>Vaba netovõlakoormus (eurodes)</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3 614 000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3 933 476</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2 632 115</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2 315 022</w:t>
            </w:r>
          </w:p>
        </w:tc>
        <w:tc>
          <w:tcPr>
            <w:tcW w:w="992" w:type="dxa"/>
            <w:tcBorders>
              <w:top w:val="nil"/>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2 351 448</w:t>
            </w:r>
          </w:p>
        </w:tc>
        <w:tc>
          <w:tcPr>
            <w:tcW w:w="993" w:type="dxa"/>
            <w:tcBorders>
              <w:top w:val="nil"/>
              <w:left w:val="nil"/>
              <w:bottom w:val="single" w:sz="4" w:space="0" w:color="auto"/>
              <w:right w:val="single" w:sz="4" w:space="0" w:color="auto"/>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2 475 285</w:t>
            </w:r>
          </w:p>
        </w:tc>
        <w:tc>
          <w:tcPr>
            <w:tcW w:w="992" w:type="dxa"/>
            <w:tcBorders>
              <w:top w:val="nil"/>
              <w:left w:val="nil"/>
              <w:bottom w:val="single" w:sz="4" w:space="0" w:color="000000"/>
              <w:right w:val="single" w:sz="8" w:space="0" w:color="000000"/>
            </w:tcBorders>
            <w:shd w:val="clear" w:color="auto" w:fill="FFFFFF" w:themeFill="background1"/>
            <w:vAlign w:val="bottom"/>
            <w:hideMark/>
          </w:tcPr>
          <w:p w:rsidR="00062127" w:rsidRPr="007C4C4A" w:rsidRDefault="00062127" w:rsidP="00062127">
            <w:pPr>
              <w:jc w:val="right"/>
              <w:rPr>
                <w:rFonts w:ascii="Arial" w:hAnsi="Arial" w:cs="Arial"/>
                <w:sz w:val="16"/>
                <w:szCs w:val="16"/>
                <w:lang w:val="et-EE" w:eastAsia="et-EE"/>
              </w:rPr>
            </w:pPr>
            <w:r w:rsidRPr="007C4C4A">
              <w:rPr>
                <w:rFonts w:ascii="Arial" w:hAnsi="Arial" w:cs="Arial"/>
                <w:sz w:val="16"/>
                <w:szCs w:val="16"/>
                <w:lang w:val="et-EE" w:eastAsia="et-EE"/>
              </w:rPr>
              <w:t>2 836 676</w:t>
            </w:r>
          </w:p>
        </w:tc>
      </w:tr>
    </w:tbl>
    <w:p w:rsidR="00062127" w:rsidRPr="005E4DDC" w:rsidRDefault="00062127" w:rsidP="008513EC">
      <w:pPr>
        <w:rPr>
          <w:rFonts w:ascii="Verdana" w:hAnsi="Verdana"/>
          <w:sz w:val="22"/>
          <w:szCs w:val="22"/>
          <w:lang w:val="et-EE"/>
        </w:rPr>
      </w:pPr>
    </w:p>
    <w:p w:rsidR="00924C20" w:rsidRPr="00BA1430" w:rsidRDefault="005E4DDC" w:rsidP="00924C20">
      <w:pPr>
        <w:rPr>
          <w:sz w:val="20"/>
          <w:szCs w:val="20"/>
          <w:lang w:val="et-EE"/>
        </w:rPr>
      </w:pPr>
      <w:r w:rsidRPr="00BA1430">
        <w:rPr>
          <w:b/>
          <w:sz w:val="20"/>
          <w:szCs w:val="20"/>
          <w:lang w:val="et-EE"/>
        </w:rPr>
        <w:t>Tabel 14. Viru-Nigula valla netovõlakoormus</w:t>
      </w:r>
      <w:r w:rsidR="00D0258C">
        <w:rPr>
          <w:b/>
          <w:sz w:val="20"/>
          <w:szCs w:val="20"/>
          <w:lang w:val="et-EE"/>
        </w:rPr>
        <w:t>.</w:t>
      </w:r>
    </w:p>
    <w:p w:rsidR="005E4DDC" w:rsidRPr="00BA1430" w:rsidRDefault="005E4DDC" w:rsidP="00924C20">
      <w:pPr>
        <w:jc w:val="both"/>
        <w:rPr>
          <w:sz w:val="20"/>
          <w:szCs w:val="20"/>
          <w:lang w:val="et-EE"/>
        </w:rPr>
      </w:pPr>
    </w:p>
    <w:p w:rsidR="00924C20" w:rsidRPr="00BA1430" w:rsidRDefault="009E7F16" w:rsidP="009B7E8F">
      <w:pPr>
        <w:spacing w:line="276" w:lineRule="auto"/>
        <w:jc w:val="both"/>
        <w:rPr>
          <w:lang w:val="et-EE"/>
        </w:rPr>
      </w:pPr>
      <w:r w:rsidRPr="00BA1430">
        <w:rPr>
          <w:lang w:val="et-EE"/>
        </w:rPr>
        <w:t xml:space="preserve">Perioodil võetavad laenud </w:t>
      </w:r>
      <w:r w:rsidR="00924C20" w:rsidRPr="00BA1430">
        <w:rPr>
          <w:lang w:val="et-EE"/>
        </w:rPr>
        <w:t>kasvatavad järk</w:t>
      </w:r>
      <w:r w:rsidR="00266607" w:rsidRPr="00BA1430">
        <w:rPr>
          <w:lang w:val="et-EE"/>
        </w:rPr>
        <w:t>-</w:t>
      </w:r>
      <w:r w:rsidR="00924C20" w:rsidRPr="00BA1430">
        <w:rPr>
          <w:lang w:val="et-EE"/>
        </w:rPr>
        <w:t xml:space="preserve">järgult valla </w:t>
      </w:r>
      <w:r w:rsidR="00266607" w:rsidRPr="00BA1430">
        <w:rPr>
          <w:lang w:val="et-EE"/>
        </w:rPr>
        <w:t xml:space="preserve">rahalisi </w:t>
      </w:r>
      <w:r w:rsidR="00924C20" w:rsidRPr="00BA1430">
        <w:rPr>
          <w:lang w:val="et-EE"/>
        </w:rPr>
        <w:t>kohustusi. Arvestades likviidsete varade olemasolu järgmistel aastatel,</w:t>
      </w:r>
      <w:r w:rsidR="00484A67" w:rsidRPr="00BA1430">
        <w:rPr>
          <w:lang w:val="et-EE"/>
        </w:rPr>
        <w:t xml:space="preserve"> siis ne</w:t>
      </w:r>
      <w:r w:rsidR="00FE1F15">
        <w:rPr>
          <w:lang w:val="et-EE"/>
        </w:rPr>
        <w:t>tovõlakoormus ei tõuse üle 33</w:t>
      </w:r>
      <w:r w:rsidR="00484A67" w:rsidRPr="00BA1430">
        <w:rPr>
          <w:lang w:val="et-EE"/>
        </w:rPr>
        <w:t>%</w:t>
      </w:r>
      <w:r w:rsidR="00924C20" w:rsidRPr="00BA1430">
        <w:rPr>
          <w:lang w:val="et-EE"/>
        </w:rPr>
        <w:t xml:space="preserve">. See on valla jaoks jõukohane ja jääb </w:t>
      </w:r>
      <w:r w:rsidR="00266607" w:rsidRPr="00BA1430">
        <w:rPr>
          <w:lang w:val="et-EE"/>
        </w:rPr>
        <w:t>alla</w:t>
      </w:r>
      <w:r w:rsidR="00924C20" w:rsidRPr="00BA1430">
        <w:rPr>
          <w:lang w:val="et-EE"/>
        </w:rPr>
        <w:t xml:space="preserve"> lubatud koormusest – 60%. </w:t>
      </w:r>
      <w:r w:rsidR="00266607" w:rsidRPr="00BA1430">
        <w:rPr>
          <w:lang w:val="et-EE"/>
        </w:rPr>
        <w:t xml:space="preserve">Taoline lähenemine </w:t>
      </w:r>
      <w:r w:rsidR="00924C20" w:rsidRPr="00BA1430">
        <w:rPr>
          <w:lang w:val="et-EE"/>
        </w:rPr>
        <w:t xml:space="preserve">tagab likviidsuse ja lubab </w:t>
      </w:r>
      <w:r w:rsidR="00266607" w:rsidRPr="00BA1430">
        <w:rPr>
          <w:lang w:val="et-EE"/>
        </w:rPr>
        <w:t xml:space="preserve">Viru-Nigula </w:t>
      </w:r>
      <w:r w:rsidR="00924C20" w:rsidRPr="00BA1430">
        <w:rPr>
          <w:lang w:val="et-EE"/>
        </w:rPr>
        <w:t>valla</w:t>
      </w:r>
      <w:r w:rsidR="00F420E6" w:rsidRPr="00BA1430">
        <w:rPr>
          <w:lang w:val="et-EE"/>
        </w:rPr>
        <w:t>l</w:t>
      </w:r>
      <w:r w:rsidR="00924C20" w:rsidRPr="00BA1430">
        <w:rPr>
          <w:lang w:val="et-EE"/>
        </w:rPr>
        <w:t xml:space="preserve"> probleemideta täita talle pandud ja ise võetud kohustusi põhitegevuses. </w:t>
      </w:r>
    </w:p>
    <w:p w:rsidR="0071367B" w:rsidRPr="00BA1430" w:rsidRDefault="0071367B" w:rsidP="009B7E8F">
      <w:pPr>
        <w:spacing w:line="276" w:lineRule="auto"/>
        <w:jc w:val="both"/>
        <w:rPr>
          <w:lang w:val="et-EE"/>
        </w:rPr>
      </w:pPr>
    </w:p>
    <w:p w:rsidR="00924C20" w:rsidRPr="00BA1430" w:rsidRDefault="00924C20" w:rsidP="009B7E8F">
      <w:pPr>
        <w:spacing w:line="276" w:lineRule="auto"/>
        <w:jc w:val="both"/>
        <w:rPr>
          <w:lang w:val="et-EE"/>
        </w:rPr>
      </w:pPr>
      <w:r w:rsidRPr="00BA1430">
        <w:rPr>
          <w:lang w:val="et-EE"/>
        </w:rPr>
        <w:t xml:space="preserve">Netovõlakoormuse </w:t>
      </w:r>
      <w:r w:rsidR="0071367B" w:rsidRPr="00BA1430">
        <w:rPr>
          <w:lang w:val="et-EE"/>
        </w:rPr>
        <w:t>prognoosi</w:t>
      </w:r>
      <w:r w:rsidR="00062127">
        <w:rPr>
          <w:lang w:val="et-EE"/>
        </w:rPr>
        <w:t xml:space="preserve"> /</w:t>
      </w:r>
      <w:r w:rsidRPr="00BA1430">
        <w:rPr>
          <w:lang w:val="et-EE"/>
        </w:rPr>
        <w:t>lubatud protsent</w:t>
      </w:r>
      <w:r w:rsidR="0071367B" w:rsidRPr="00BA1430">
        <w:rPr>
          <w:lang w:val="et-EE"/>
        </w:rPr>
        <w:t>i</w:t>
      </w:r>
      <w:r w:rsidRPr="00BA1430">
        <w:rPr>
          <w:lang w:val="et-EE"/>
        </w:rPr>
        <w:t xml:space="preserve"> eelarvestrateegia perioodil</w:t>
      </w:r>
      <w:r w:rsidR="00D53F31" w:rsidRPr="00BA1430">
        <w:rPr>
          <w:lang w:val="et-EE"/>
        </w:rPr>
        <w:t xml:space="preserve"> iseloomustab joonis 6</w:t>
      </w:r>
      <w:r w:rsidR="0071367B" w:rsidRPr="00BA1430">
        <w:rPr>
          <w:lang w:val="et-EE"/>
        </w:rPr>
        <w:t>.</w:t>
      </w:r>
    </w:p>
    <w:p w:rsidR="0071367B" w:rsidRDefault="0071367B" w:rsidP="00924C20">
      <w:pPr>
        <w:jc w:val="both"/>
        <w:rPr>
          <w:rFonts w:ascii="Trebuchet MS" w:hAnsi="Trebuchet MS"/>
          <w:lang w:val="et-EE"/>
        </w:rPr>
      </w:pPr>
    </w:p>
    <w:p w:rsidR="00924C20" w:rsidRPr="006B14A4" w:rsidRDefault="00062127" w:rsidP="00924C20">
      <w:pPr>
        <w:jc w:val="center"/>
        <w:rPr>
          <w:sz w:val="28"/>
          <w:szCs w:val="28"/>
          <w:lang w:val="et-EE"/>
        </w:rPr>
      </w:pPr>
      <w:r>
        <w:rPr>
          <w:noProof/>
          <w:lang w:val="et-EE" w:eastAsia="et-EE"/>
        </w:rPr>
        <w:lastRenderedPageBreak/>
        <w:drawing>
          <wp:inline distT="0" distB="0" distL="0" distR="0">
            <wp:extent cx="5505450" cy="2781300"/>
            <wp:effectExtent l="0" t="0" r="0" b="0"/>
            <wp:docPr id="13" name="Diagramm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420E6" w:rsidRDefault="00F420E6" w:rsidP="00F420E6">
      <w:pPr>
        <w:jc w:val="both"/>
        <w:rPr>
          <w:rFonts w:ascii="Trebuchet MS" w:hAnsi="Trebuchet MS"/>
          <w:b/>
          <w:sz w:val="22"/>
          <w:szCs w:val="22"/>
          <w:lang w:val="et-EE"/>
        </w:rPr>
      </w:pPr>
    </w:p>
    <w:p w:rsidR="00F420E6" w:rsidRPr="00BA1430" w:rsidRDefault="00F420E6" w:rsidP="00F420E6">
      <w:pPr>
        <w:jc w:val="both"/>
        <w:rPr>
          <w:b/>
          <w:sz w:val="20"/>
          <w:szCs w:val="20"/>
          <w:lang w:val="et-EE"/>
        </w:rPr>
      </w:pPr>
      <w:r w:rsidRPr="00BA1430">
        <w:rPr>
          <w:b/>
          <w:sz w:val="20"/>
          <w:szCs w:val="20"/>
          <w:lang w:val="et-EE"/>
        </w:rPr>
        <w:t>Joonis 6. Viru-Nigula valla netovõlakoormuse prognoos</w:t>
      </w:r>
      <w:r w:rsidR="00BC590A" w:rsidRPr="00BA1430">
        <w:rPr>
          <w:b/>
          <w:sz w:val="20"/>
          <w:szCs w:val="20"/>
          <w:lang w:val="et-EE"/>
        </w:rPr>
        <w:t>.</w:t>
      </w:r>
    </w:p>
    <w:p w:rsidR="00F420E6" w:rsidRDefault="00F420E6" w:rsidP="00F420E6">
      <w:pPr>
        <w:jc w:val="both"/>
        <w:rPr>
          <w:rFonts w:ascii="Trebuchet MS" w:hAnsi="Trebuchet MS"/>
          <w:lang w:val="et-EE"/>
        </w:rPr>
      </w:pPr>
    </w:p>
    <w:p w:rsidR="00924C20" w:rsidRPr="00BA1430" w:rsidRDefault="00484A67" w:rsidP="009B7E8F">
      <w:pPr>
        <w:spacing w:line="276" w:lineRule="auto"/>
        <w:jc w:val="both"/>
        <w:rPr>
          <w:lang w:val="et-EE"/>
        </w:rPr>
      </w:pPr>
      <w:r w:rsidRPr="00BA1430">
        <w:rPr>
          <w:lang w:val="et-EE"/>
        </w:rPr>
        <w:t xml:space="preserve">Jooniselt </w:t>
      </w:r>
      <w:r w:rsidR="00F420E6" w:rsidRPr="00BA1430">
        <w:rPr>
          <w:lang w:val="et-EE"/>
        </w:rPr>
        <w:t xml:space="preserve">6 </w:t>
      </w:r>
      <w:r w:rsidRPr="00BA1430">
        <w:rPr>
          <w:lang w:val="et-EE"/>
        </w:rPr>
        <w:t>on näha, et võetavad laenukohustused tõstavad küll 2019</w:t>
      </w:r>
      <w:r w:rsidR="00F420E6" w:rsidRPr="00BA1430">
        <w:rPr>
          <w:lang w:val="et-EE"/>
        </w:rPr>
        <w:t>.</w:t>
      </w:r>
      <w:r w:rsidRPr="00BA1430">
        <w:rPr>
          <w:lang w:val="et-EE"/>
        </w:rPr>
        <w:t xml:space="preserve"> aastal netovõla-koormuse protsenti, kuid </w:t>
      </w:r>
      <w:r w:rsidR="00F420E6" w:rsidRPr="00BA1430">
        <w:rPr>
          <w:lang w:val="et-EE"/>
        </w:rPr>
        <w:t xml:space="preserve">see </w:t>
      </w:r>
      <w:r w:rsidRPr="00BA1430">
        <w:rPr>
          <w:lang w:val="et-EE"/>
        </w:rPr>
        <w:t>ei ligine kriitilise piirini, mis valla finantsvõimekust</w:t>
      </w:r>
      <w:r w:rsidR="00062127">
        <w:rPr>
          <w:lang w:val="et-EE"/>
        </w:rPr>
        <w:t xml:space="preserve"> arvestades jääb tegelikult ca 3</w:t>
      </w:r>
      <w:r w:rsidRPr="00BA1430">
        <w:rPr>
          <w:lang w:val="et-EE"/>
        </w:rPr>
        <w:t xml:space="preserve">0% piirimaile. </w:t>
      </w:r>
      <w:r w:rsidR="00062127">
        <w:rPr>
          <w:lang w:val="et-EE"/>
        </w:rPr>
        <w:t xml:space="preserve">See peaks tagama turvalisuse ka olukorras, kus tulude laekumine võib jääda alla prognoosi. Samas eelarve normaalse täitmise korral annab võimaluse täiendavalt kohustusi võtta, valla finantsvõimekust mitte halvendades. </w:t>
      </w:r>
    </w:p>
    <w:p w:rsidR="0078038C" w:rsidRDefault="0078038C" w:rsidP="00F420E6">
      <w:pPr>
        <w:pStyle w:val="Pealkiri1"/>
        <w:rPr>
          <w:color w:val="auto"/>
          <w:sz w:val="28"/>
        </w:rPr>
      </w:pPr>
    </w:p>
    <w:p w:rsidR="00776A01" w:rsidRDefault="00776A01" w:rsidP="00776A01">
      <w:pPr>
        <w:rPr>
          <w:lang w:val="et-EE"/>
        </w:rPr>
      </w:pPr>
    </w:p>
    <w:p w:rsidR="00776A01" w:rsidRPr="00776A01" w:rsidRDefault="00776A01" w:rsidP="00776A01">
      <w:pPr>
        <w:rPr>
          <w:lang w:val="et-EE"/>
        </w:rPr>
      </w:pPr>
    </w:p>
    <w:p w:rsidR="00924C20" w:rsidRPr="00D0258C" w:rsidRDefault="00A97DB4" w:rsidP="00F420E6">
      <w:pPr>
        <w:pStyle w:val="Pealkiri1"/>
        <w:rPr>
          <w:color w:val="auto"/>
          <w:sz w:val="28"/>
        </w:rPr>
      </w:pPr>
      <w:bookmarkStart w:id="21" w:name="_Toc521395307"/>
      <w:r w:rsidRPr="00BA1430">
        <w:rPr>
          <w:color w:val="auto"/>
          <w:sz w:val="28"/>
        </w:rPr>
        <w:t xml:space="preserve">8. </w:t>
      </w:r>
      <w:r w:rsidRPr="00D0258C">
        <w:rPr>
          <w:color w:val="auto"/>
          <w:sz w:val="28"/>
        </w:rPr>
        <w:t>Tundlikkuse analüüs</w:t>
      </w:r>
      <w:bookmarkEnd w:id="21"/>
      <w:r w:rsidRPr="00D0258C">
        <w:rPr>
          <w:color w:val="auto"/>
          <w:sz w:val="28"/>
        </w:rPr>
        <w:t xml:space="preserve"> </w:t>
      </w:r>
    </w:p>
    <w:p w:rsidR="00D53F31" w:rsidRPr="00D0258C" w:rsidRDefault="00D53F31" w:rsidP="0071367B">
      <w:pPr>
        <w:rPr>
          <w:rFonts w:ascii="Trebuchet MS" w:hAnsi="Trebuchet MS"/>
          <w:b/>
          <w:lang w:val="et-EE"/>
        </w:rPr>
      </w:pPr>
    </w:p>
    <w:p w:rsidR="00A97DB4" w:rsidRPr="00BA1430" w:rsidRDefault="00A97DB4" w:rsidP="003B6298">
      <w:pPr>
        <w:autoSpaceDE w:val="0"/>
        <w:autoSpaceDN w:val="0"/>
        <w:adjustRightInd w:val="0"/>
        <w:spacing w:line="276" w:lineRule="auto"/>
        <w:jc w:val="both"/>
        <w:rPr>
          <w:rFonts w:eastAsiaTheme="minorHAnsi"/>
          <w:lang w:val="et-EE"/>
        </w:rPr>
      </w:pPr>
      <w:r w:rsidRPr="00D0258C">
        <w:rPr>
          <w:rFonts w:eastAsiaTheme="minorHAnsi"/>
          <w:lang w:val="et-EE"/>
        </w:rPr>
        <w:t>Valla finantsnäitajad on kooskõlas finantsdistsipliini tagam</w:t>
      </w:r>
      <w:r w:rsidR="00DD513A" w:rsidRPr="00D0258C">
        <w:rPr>
          <w:rFonts w:eastAsiaTheme="minorHAnsi"/>
          <w:lang w:val="et-EE"/>
        </w:rPr>
        <w:t xml:space="preserve">ise meetmetega – KOFS vastavaid </w:t>
      </w:r>
      <w:r w:rsidRPr="00D0258C">
        <w:rPr>
          <w:rFonts w:eastAsiaTheme="minorHAnsi"/>
          <w:lang w:val="et-EE"/>
        </w:rPr>
        <w:t>paragrahve</w:t>
      </w:r>
      <w:r w:rsidRPr="00BA1430">
        <w:rPr>
          <w:rFonts w:eastAsiaTheme="minorHAnsi"/>
          <w:lang w:val="et-EE"/>
        </w:rPr>
        <w:t xml:space="preserve"> silmas pidades.</w:t>
      </w:r>
    </w:p>
    <w:p w:rsidR="00F420E6" w:rsidRPr="00BA1430" w:rsidRDefault="00F420E6" w:rsidP="003B6298">
      <w:pPr>
        <w:autoSpaceDE w:val="0"/>
        <w:autoSpaceDN w:val="0"/>
        <w:adjustRightInd w:val="0"/>
        <w:spacing w:line="276" w:lineRule="auto"/>
        <w:jc w:val="both"/>
        <w:rPr>
          <w:rFonts w:eastAsiaTheme="minorHAnsi"/>
          <w:lang w:val="et-EE"/>
        </w:rPr>
      </w:pPr>
    </w:p>
    <w:p w:rsidR="00A97DB4" w:rsidRPr="00BA1430" w:rsidRDefault="00A97DB4" w:rsidP="003B6298">
      <w:pPr>
        <w:autoSpaceDE w:val="0"/>
        <w:autoSpaceDN w:val="0"/>
        <w:adjustRightInd w:val="0"/>
        <w:spacing w:line="276" w:lineRule="auto"/>
        <w:jc w:val="both"/>
        <w:rPr>
          <w:rFonts w:eastAsiaTheme="minorHAnsi"/>
          <w:lang w:val="et-EE"/>
        </w:rPr>
      </w:pPr>
      <w:r w:rsidRPr="00BA1430">
        <w:rPr>
          <w:rFonts w:eastAsiaTheme="minorHAnsi"/>
          <w:lang w:val="et-EE"/>
        </w:rPr>
        <w:t xml:space="preserve">Põhitegevuse tulem on </w:t>
      </w:r>
      <w:r w:rsidR="00DD513A" w:rsidRPr="00BA1430">
        <w:rPr>
          <w:rFonts w:eastAsiaTheme="minorHAnsi"/>
          <w:lang w:val="et-EE"/>
        </w:rPr>
        <w:t xml:space="preserve">kavandatud summas, et oleks piisavalt vahendeid </w:t>
      </w:r>
      <w:r w:rsidRPr="00BA1430">
        <w:rPr>
          <w:rFonts w:eastAsiaTheme="minorHAnsi"/>
          <w:lang w:val="et-EE"/>
        </w:rPr>
        <w:t>laenu</w:t>
      </w:r>
      <w:r w:rsidR="00DD513A" w:rsidRPr="00BA1430">
        <w:rPr>
          <w:rFonts w:eastAsiaTheme="minorHAnsi"/>
          <w:lang w:val="et-EE"/>
        </w:rPr>
        <w:t>-</w:t>
      </w:r>
      <w:r w:rsidRPr="00BA1430">
        <w:rPr>
          <w:rFonts w:eastAsiaTheme="minorHAnsi"/>
          <w:lang w:val="et-EE"/>
        </w:rPr>
        <w:t xml:space="preserve">teenindamise tagamiseks. </w:t>
      </w:r>
      <w:r w:rsidR="00DD513A" w:rsidRPr="00BA1430">
        <w:rPr>
          <w:rFonts w:eastAsiaTheme="minorHAnsi"/>
          <w:lang w:val="et-EE"/>
        </w:rPr>
        <w:t xml:space="preserve">Investeeringuteks </w:t>
      </w:r>
      <w:r w:rsidR="00E8418E" w:rsidRPr="00BA1430">
        <w:rPr>
          <w:rFonts w:eastAsiaTheme="minorHAnsi"/>
          <w:lang w:val="et-EE"/>
        </w:rPr>
        <w:t xml:space="preserve">jääb </w:t>
      </w:r>
      <w:r w:rsidR="00DD513A" w:rsidRPr="00BA1430">
        <w:rPr>
          <w:rFonts w:eastAsiaTheme="minorHAnsi"/>
          <w:lang w:val="et-EE"/>
        </w:rPr>
        <w:t>ainult va</w:t>
      </w:r>
      <w:r w:rsidR="00E8418E" w:rsidRPr="00BA1430">
        <w:rPr>
          <w:rFonts w:eastAsiaTheme="minorHAnsi"/>
          <w:lang w:val="et-EE"/>
        </w:rPr>
        <w:t xml:space="preserve">lla enda eelarve vahenditest </w:t>
      </w:r>
      <w:r w:rsidR="00DD513A" w:rsidRPr="00BA1430">
        <w:rPr>
          <w:rFonts w:eastAsiaTheme="minorHAnsi"/>
          <w:lang w:val="et-EE"/>
        </w:rPr>
        <w:t xml:space="preserve">väheks. Kaasatakse laene ja projektitoetusi. Kuid investeerimisvõime tõstmine peab olema eesmärk. </w:t>
      </w:r>
    </w:p>
    <w:p w:rsidR="00F420E6" w:rsidRPr="00BA1430" w:rsidRDefault="00F420E6" w:rsidP="003B6298">
      <w:pPr>
        <w:autoSpaceDE w:val="0"/>
        <w:autoSpaceDN w:val="0"/>
        <w:adjustRightInd w:val="0"/>
        <w:spacing w:line="276" w:lineRule="auto"/>
        <w:jc w:val="both"/>
        <w:rPr>
          <w:rFonts w:eastAsiaTheme="minorHAnsi"/>
          <w:lang w:val="et-EE"/>
        </w:rPr>
      </w:pPr>
    </w:p>
    <w:p w:rsidR="00DD513A" w:rsidRPr="00BA1430" w:rsidRDefault="00DD513A" w:rsidP="003B6298">
      <w:pPr>
        <w:autoSpaceDE w:val="0"/>
        <w:autoSpaceDN w:val="0"/>
        <w:adjustRightInd w:val="0"/>
        <w:spacing w:line="276" w:lineRule="auto"/>
        <w:jc w:val="both"/>
        <w:rPr>
          <w:rFonts w:eastAsiaTheme="minorHAnsi"/>
          <w:lang w:val="et-EE"/>
        </w:rPr>
      </w:pPr>
      <w:r w:rsidRPr="00BA1430">
        <w:rPr>
          <w:rFonts w:eastAsiaTheme="minorHAnsi"/>
          <w:lang w:val="et-EE"/>
        </w:rPr>
        <w:t>Eelarve põhitegevuse kulud kasvavad enam-vähem proportsiooni</w:t>
      </w:r>
      <w:r w:rsidR="00F420E6" w:rsidRPr="00BA1430">
        <w:rPr>
          <w:rFonts w:eastAsiaTheme="minorHAnsi"/>
          <w:lang w:val="et-EE"/>
        </w:rPr>
        <w:t>s</w:t>
      </w:r>
      <w:r w:rsidRPr="00BA1430">
        <w:rPr>
          <w:rFonts w:eastAsiaTheme="minorHAnsi"/>
          <w:lang w:val="et-EE"/>
        </w:rPr>
        <w:t xml:space="preserve"> põhitegevuse tulude kasvuga. Se</w:t>
      </w:r>
      <w:r w:rsidR="00F420E6" w:rsidRPr="00BA1430">
        <w:rPr>
          <w:rFonts w:eastAsiaTheme="minorHAnsi"/>
          <w:lang w:val="et-EE"/>
        </w:rPr>
        <w:t>e</w:t>
      </w:r>
      <w:r w:rsidRPr="00BA1430">
        <w:rPr>
          <w:rFonts w:eastAsiaTheme="minorHAnsi"/>
          <w:lang w:val="et-EE"/>
        </w:rPr>
        <w:t xml:space="preserve">tõttu ei kasva ka põhitegevuse tulem. </w:t>
      </w:r>
      <w:r w:rsidR="00F420E6" w:rsidRPr="00BA1430">
        <w:rPr>
          <w:rFonts w:eastAsiaTheme="minorHAnsi"/>
          <w:lang w:val="et-EE"/>
        </w:rPr>
        <w:t>Selleks, e</w:t>
      </w:r>
      <w:r w:rsidRPr="00BA1430">
        <w:rPr>
          <w:rFonts w:eastAsiaTheme="minorHAnsi"/>
          <w:lang w:val="et-EE"/>
        </w:rPr>
        <w:t xml:space="preserve">t saavutada </w:t>
      </w:r>
      <w:r w:rsidR="00F420E6" w:rsidRPr="00BA1430">
        <w:rPr>
          <w:rFonts w:eastAsiaTheme="minorHAnsi"/>
          <w:lang w:val="et-EE"/>
        </w:rPr>
        <w:t xml:space="preserve">põhitegevuses </w:t>
      </w:r>
      <w:r w:rsidRPr="00BA1430">
        <w:rPr>
          <w:rFonts w:eastAsiaTheme="minorHAnsi"/>
          <w:lang w:val="et-EE"/>
        </w:rPr>
        <w:t xml:space="preserve">hüppelist kasvu ja sellega parandada finantsvõimekust, oleks vaja ka riigi keskvalitsuse poolt </w:t>
      </w:r>
      <w:r w:rsidR="00F420E6" w:rsidRPr="00BA1430">
        <w:rPr>
          <w:rFonts w:eastAsiaTheme="minorHAnsi"/>
          <w:lang w:val="et-EE"/>
        </w:rPr>
        <w:t xml:space="preserve">kohalike omavalitsuste </w:t>
      </w:r>
      <w:r w:rsidRPr="00BA1430">
        <w:rPr>
          <w:rFonts w:eastAsiaTheme="minorHAnsi"/>
          <w:lang w:val="et-EE"/>
        </w:rPr>
        <w:t xml:space="preserve">tulude baasi muutmist. Riigi huvi peaks olema see, et suurendades </w:t>
      </w:r>
      <w:r w:rsidR="00F420E6" w:rsidRPr="00BA1430">
        <w:rPr>
          <w:rFonts w:eastAsiaTheme="minorHAnsi"/>
          <w:lang w:val="et-EE"/>
        </w:rPr>
        <w:t>kohalike omavalitsuste</w:t>
      </w:r>
      <w:r w:rsidRPr="00BA1430">
        <w:rPr>
          <w:rFonts w:eastAsiaTheme="minorHAnsi"/>
          <w:lang w:val="et-EE"/>
        </w:rPr>
        <w:t xml:space="preserve"> finantsvõimekust, vähe</w:t>
      </w:r>
      <w:r w:rsidR="00F420E6" w:rsidRPr="00BA1430">
        <w:rPr>
          <w:rFonts w:eastAsiaTheme="minorHAnsi"/>
          <w:lang w:val="et-EE"/>
        </w:rPr>
        <w:t>ne</w:t>
      </w:r>
      <w:r w:rsidRPr="00BA1430">
        <w:rPr>
          <w:rFonts w:eastAsiaTheme="minorHAnsi"/>
          <w:lang w:val="et-EE"/>
        </w:rPr>
        <w:t xml:space="preserve">b ka </w:t>
      </w:r>
      <w:r w:rsidR="00F420E6" w:rsidRPr="00BA1430">
        <w:rPr>
          <w:rFonts w:eastAsiaTheme="minorHAnsi"/>
          <w:lang w:val="et-EE"/>
        </w:rPr>
        <w:t>nende</w:t>
      </w:r>
      <w:r w:rsidRPr="00BA1430">
        <w:rPr>
          <w:rFonts w:eastAsiaTheme="minorHAnsi"/>
          <w:lang w:val="et-EE"/>
        </w:rPr>
        <w:t xml:space="preserve"> laenuvõtmise vajadu</w:t>
      </w:r>
      <w:r w:rsidR="00F420E6" w:rsidRPr="00BA1430">
        <w:rPr>
          <w:rFonts w:eastAsiaTheme="minorHAnsi"/>
          <w:lang w:val="et-EE"/>
        </w:rPr>
        <w:t>s</w:t>
      </w:r>
      <w:r w:rsidRPr="00BA1430">
        <w:rPr>
          <w:rFonts w:eastAsiaTheme="minorHAnsi"/>
          <w:lang w:val="et-EE"/>
        </w:rPr>
        <w:t xml:space="preserve">. </w:t>
      </w:r>
      <w:r w:rsidR="00F420E6" w:rsidRPr="00BA1430">
        <w:rPr>
          <w:rFonts w:eastAsiaTheme="minorHAnsi"/>
          <w:lang w:val="et-EE"/>
        </w:rPr>
        <w:t xml:space="preserve">Kohalike omavalitsuste </w:t>
      </w:r>
      <w:r w:rsidRPr="00BA1430">
        <w:rPr>
          <w:rFonts w:eastAsiaTheme="minorHAnsi"/>
          <w:lang w:val="et-EE"/>
        </w:rPr>
        <w:t xml:space="preserve">laenud aga konsolideeruvad riigi eelarvesse. </w:t>
      </w:r>
    </w:p>
    <w:p w:rsidR="00F420E6" w:rsidRPr="00BA1430" w:rsidRDefault="00F420E6" w:rsidP="003B6298">
      <w:pPr>
        <w:autoSpaceDE w:val="0"/>
        <w:autoSpaceDN w:val="0"/>
        <w:adjustRightInd w:val="0"/>
        <w:spacing w:line="276" w:lineRule="auto"/>
        <w:jc w:val="both"/>
        <w:rPr>
          <w:rFonts w:eastAsiaTheme="minorHAnsi"/>
          <w:lang w:val="et-EE"/>
        </w:rPr>
      </w:pPr>
    </w:p>
    <w:p w:rsidR="00DD513A" w:rsidRPr="00BA1430" w:rsidRDefault="00F420E6" w:rsidP="003B6298">
      <w:pPr>
        <w:autoSpaceDE w:val="0"/>
        <w:autoSpaceDN w:val="0"/>
        <w:adjustRightInd w:val="0"/>
        <w:spacing w:line="276" w:lineRule="auto"/>
        <w:jc w:val="both"/>
        <w:rPr>
          <w:rFonts w:eastAsiaTheme="minorHAnsi"/>
          <w:lang w:val="et-EE"/>
        </w:rPr>
      </w:pPr>
      <w:r w:rsidRPr="00BA1430">
        <w:rPr>
          <w:rFonts w:eastAsiaTheme="minorHAnsi"/>
          <w:lang w:val="et-EE"/>
        </w:rPr>
        <w:lastRenderedPageBreak/>
        <w:t>Viru-Nigula v</w:t>
      </w:r>
      <w:r w:rsidR="00DD513A" w:rsidRPr="00BA1430">
        <w:rPr>
          <w:rFonts w:eastAsiaTheme="minorHAnsi"/>
          <w:lang w:val="et-EE"/>
        </w:rPr>
        <w:t xml:space="preserve">alla elanike arv ja maksumaksjate arv ei kasva oluliselt </w:t>
      </w:r>
      <w:r w:rsidRPr="00BA1430">
        <w:rPr>
          <w:rFonts w:eastAsiaTheme="minorHAnsi"/>
          <w:lang w:val="et-EE"/>
        </w:rPr>
        <w:t>ning</w:t>
      </w:r>
      <w:r w:rsidR="00DD513A" w:rsidRPr="00BA1430">
        <w:rPr>
          <w:rFonts w:eastAsiaTheme="minorHAnsi"/>
          <w:lang w:val="et-EE"/>
        </w:rPr>
        <w:t xml:space="preserve"> </w:t>
      </w:r>
      <w:r w:rsidRPr="00BA1430">
        <w:rPr>
          <w:rFonts w:eastAsiaTheme="minorHAnsi"/>
          <w:lang w:val="et-EE"/>
        </w:rPr>
        <w:t>tuleb teha jõupingutusi nende näitajate kasvatamiseks</w:t>
      </w:r>
      <w:r w:rsidR="00DD513A" w:rsidRPr="00BA1430">
        <w:rPr>
          <w:rFonts w:eastAsiaTheme="minorHAnsi"/>
          <w:lang w:val="et-EE"/>
        </w:rPr>
        <w:t xml:space="preserve">. </w:t>
      </w:r>
      <w:r w:rsidRPr="00BA1430">
        <w:rPr>
          <w:rFonts w:eastAsiaTheme="minorHAnsi"/>
          <w:lang w:val="et-EE"/>
        </w:rPr>
        <w:t>P</w:t>
      </w:r>
      <w:r w:rsidR="00DD513A" w:rsidRPr="00BA1430">
        <w:rPr>
          <w:rFonts w:eastAsiaTheme="minorHAnsi"/>
          <w:lang w:val="et-EE"/>
        </w:rPr>
        <w:t>algakasv jääb peamiseks FIT laekumise kasvu elemendiks</w:t>
      </w:r>
      <w:r w:rsidRPr="00BA1430">
        <w:rPr>
          <w:rFonts w:eastAsiaTheme="minorHAnsi"/>
          <w:lang w:val="et-EE"/>
        </w:rPr>
        <w:t xml:space="preserve"> ka tulevikus</w:t>
      </w:r>
      <w:r w:rsidR="00DD513A" w:rsidRPr="00BA1430">
        <w:rPr>
          <w:rFonts w:eastAsiaTheme="minorHAnsi"/>
          <w:lang w:val="et-EE"/>
        </w:rPr>
        <w:t xml:space="preserve">. </w:t>
      </w:r>
    </w:p>
    <w:p w:rsidR="00924C20" w:rsidRPr="00BA1430" w:rsidRDefault="00924C20" w:rsidP="003B6298">
      <w:pPr>
        <w:spacing w:line="276" w:lineRule="auto"/>
        <w:jc w:val="both"/>
        <w:rPr>
          <w:rFonts w:eastAsiaTheme="minorHAnsi"/>
          <w:lang w:val="et-EE"/>
        </w:rPr>
      </w:pPr>
    </w:p>
    <w:p w:rsidR="00DD513A" w:rsidRPr="00BA1430" w:rsidRDefault="00DD513A" w:rsidP="003B6298">
      <w:pPr>
        <w:spacing w:line="276" w:lineRule="auto"/>
        <w:jc w:val="both"/>
        <w:rPr>
          <w:lang w:val="et-EE"/>
        </w:rPr>
      </w:pPr>
      <w:r w:rsidRPr="00BA1430">
        <w:rPr>
          <w:rFonts w:eastAsiaTheme="minorHAnsi"/>
          <w:lang w:val="et-EE"/>
        </w:rPr>
        <w:t xml:space="preserve">Valla finantseerimistegevus on kavandatud põhimõttel, et </w:t>
      </w:r>
      <w:r w:rsidR="00C160C8" w:rsidRPr="00BA1430">
        <w:rPr>
          <w:rFonts w:eastAsiaTheme="minorHAnsi"/>
          <w:lang w:val="et-EE"/>
        </w:rPr>
        <w:t>investeeringuteks kavandada</w:t>
      </w:r>
      <w:r w:rsidR="00751188" w:rsidRPr="00BA1430">
        <w:rPr>
          <w:rFonts w:eastAsiaTheme="minorHAnsi"/>
          <w:lang w:val="et-EE"/>
        </w:rPr>
        <w:t xml:space="preserve"> </w:t>
      </w:r>
      <w:r w:rsidR="00C160C8" w:rsidRPr="00BA1430">
        <w:rPr>
          <w:rFonts w:eastAsiaTheme="minorHAnsi"/>
          <w:lang w:val="et-EE"/>
        </w:rPr>
        <w:t>om</w:t>
      </w:r>
      <w:r w:rsidR="00F420E6" w:rsidRPr="00BA1430">
        <w:rPr>
          <w:rFonts w:eastAsiaTheme="minorHAnsi"/>
          <w:lang w:val="et-EE"/>
        </w:rPr>
        <w:t>a</w:t>
      </w:r>
      <w:r w:rsidR="00C160C8" w:rsidRPr="00BA1430">
        <w:rPr>
          <w:rFonts w:eastAsiaTheme="minorHAnsi"/>
          <w:lang w:val="et-EE"/>
        </w:rPr>
        <w:t xml:space="preserve"> vahendeid</w:t>
      </w:r>
      <w:r w:rsidR="00751188" w:rsidRPr="00BA1430">
        <w:rPr>
          <w:rFonts w:eastAsiaTheme="minorHAnsi"/>
          <w:lang w:val="et-EE"/>
        </w:rPr>
        <w:t xml:space="preserve"> </w:t>
      </w:r>
      <w:r w:rsidR="006456B6">
        <w:rPr>
          <w:rFonts w:eastAsiaTheme="minorHAnsi"/>
          <w:lang w:val="et-EE"/>
        </w:rPr>
        <w:t xml:space="preserve">ja </w:t>
      </w:r>
      <w:r w:rsidR="00751188" w:rsidRPr="00BA1430">
        <w:rPr>
          <w:rFonts w:eastAsiaTheme="minorHAnsi"/>
          <w:lang w:val="et-EE"/>
        </w:rPr>
        <w:t>võimalikult vähema laenude võtmisega.</w:t>
      </w:r>
      <w:r w:rsidR="00F420E6" w:rsidRPr="00BA1430">
        <w:rPr>
          <w:rFonts w:eastAsiaTheme="minorHAnsi"/>
          <w:lang w:val="et-EE"/>
        </w:rPr>
        <w:t xml:space="preserve"> Investeeringute tegemisel on olulisel kohal välisvahendite kaasamine projektidega.</w:t>
      </w:r>
    </w:p>
    <w:sectPr w:rsidR="00DD513A" w:rsidRPr="00BA1430" w:rsidSect="008C75F9">
      <w:headerReference w:type="default" r:id="rId16"/>
      <w:footerReference w:type="defaul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C8B" w:rsidRDefault="000C7C8B" w:rsidP="00DB61BC">
      <w:r>
        <w:separator/>
      </w:r>
    </w:p>
  </w:endnote>
  <w:endnote w:type="continuationSeparator" w:id="0">
    <w:p w:rsidR="000C7C8B" w:rsidRDefault="000C7C8B" w:rsidP="00DB6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Trebuchet MS">
    <w:panose1 w:val="020B0603020202020204"/>
    <w:charset w:val="BA"/>
    <w:family w:val="swiss"/>
    <w:pitch w:val="variable"/>
    <w:sig w:usb0="00000687" w:usb1="00000000" w:usb2="00000000" w:usb3="00000000" w:csb0="0000009F" w:csb1="00000000"/>
  </w:font>
  <w:font w:name="Andale Sans UI">
    <w:charset w:val="00"/>
    <w:family w:val="auto"/>
    <w:pitch w:val="variable"/>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1931930"/>
      <w:docPartObj>
        <w:docPartGallery w:val="Page Numbers (Bottom of Page)"/>
        <w:docPartUnique/>
      </w:docPartObj>
    </w:sdtPr>
    <w:sdtEndPr/>
    <w:sdtContent>
      <w:p w:rsidR="00103DD9" w:rsidRDefault="00103DD9">
        <w:pPr>
          <w:pStyle w:val="Jalus"/>
          <w:jc w:val="right"/>
        </w:pPr>
        <w:r>
          <w:fldChar w:fldCharType="begin"/>
        </w:r>
        <w:r>
          <w:instrText>PAGE   \* MERGEFORMAT</w:instrText>
        </w:r>
        <w:r>
          <w:fldChar w:fldCharType="separate"/>
        </w:r>
        <w:r w:rsidR="00EF7309" w:rsidRPr="00EF7309">
          <w:rPr>
            <w:noProof/>
            <w:lang w:val="et-EE"/>
          </w:rPr>
          <w:t>4</w:t>
        </w:r>
        <w:r>
          <w:rPr>
            <w:noProof/>
            <w:lang w:val="et-EE"/>
          </w:rPr>
          <w:fldChar w:fldCharType="end"/>
        </w:r>
      </w:p>
    </w:sdtContent>
  </w:sdt>
  <w:p w:rsidR="00103DD9" w:rsidRDefault="00103DD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C8B" w:rsidRDefault="000C7C8B" w:rsidP="00DB61BC">
      <w:r>
        <w:separator/>
      </w:r>
    </w:p>
  </w:footnote>
  <w:footnote w:type="continuationSeparator" w:id="0">
    <w:p w:rsidR="000C7C8B" w:rsidRDefault="000C7C8B" w:rsidP="00DB61BC">
      <w:r>
        <w:continuationSeparator/>
      </w:r>
    </w:p>
  </w:footnote>
  <w:footnote w:id="1">
    <w:p w:rsidR="00103DD9" w:rsidRPr="00B7675B" w:rsidRDefault="00103DD9" w:rsidP="00736C6D">
      <w:pPr>
        <w:pStyle w:val="Allmrkusetekst"/>
        <w:rPr>
          <w:lang w:val="en-US"/>
        </w:rPr>
      </w:pPr>
      <w:r w:rsidRPr="00B7675B">
        <w:rPr>
          <w:rStyle w:val="Allmrkuseviide"/>
        </w:rPr>
        <w:footnoteRef/>
      </w:r>
      <w:r w:rsidRPr="00B7675B">
        <w:t xml:space="preserve"> </w:t>
      </w:r>
      <w:r w:rsidRPr="00B7675B">
        <w:rPr>
          <w:lang w:val="et-EE"/>
        </w:rPr>
        <w:t>Viru-Nigula vallavalitsuse korraldus 8.02.2018 nr 71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DD9" w:rsidRPr="00BA32C9" w:rsidRDefault="00103DD9" w:rsidP="000F3685">
    <w:pPr>
      <w:pStyle w:val="Pis"/>
      <w:pBdr>
        <w:bottom w:val="single" w:sz="4" w:space="1" w:color="auto"/>
      </w:pBdr>
      <w:jc w:val="right"/>
      <w:rPr>
        <w:lang w:val="es-ES"/>
      </w:rPr>
    </w:pPr>
    <w:r>
      <w:rPr>
        <w:lang w:val="et-EE"/>
      </w:rPr>
      <w:t xml:space="preserve"> </w:t>
    </w:r>
    <w:r>
      <w:rPr>
        <w:noProof/>
        <w:lang w:val="et-EE" w:eastAsia="et-EE"/>
      </w:rPr>
      <w:drawing>
        <wp:inline distT="0" distB="0" distL="0" distR="0">
          <wp:extent cx="161925" cy="190500"/>
          <wp:effectExtent l="0" t="0" r="0" b="0"/>
          <wp:docPr id="5" name="Pilt 5" descr="C:\Users\Riks\AppData\Local\Temp\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C:\Users\Riks\AppData\Local\Temp\image0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 cy="190500"/>
                  </a:xfrm>
                  <a:prstGeom prst="rect">
                    <a:avLst/>
                  </a:prstGeom>
                  <a:noFill/>
                  <a:ln>
                    <a:noFill/>
                  </a:ln>
                </pic:spPr>
              </pic:pic>
            </a:graphicData>
          </a:graphic>
        </wp:inline>
      </w:drawing>
    </w:r>
    <w:r w:rsidRPr="000E7072">
      <w:rPr>
        <w:sz w:val="20"/>
        <w:szCs w:val="20"/>
        <w:lang w:val="et-EE"/>
      </w:rPr>
      <w:t>Viru-Nigula valla eelarvestrateegia 2019-202</w:t>
    </w:r>
    <w:r>
      <w:rPr>
        <w:sz w:val="20"/>
        <w:szCs w:val="20"/>
        <w:lang w:val="et-EE"/>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name w:val="WWNum16"/>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10300E6"/>
    <w:multiLevelType w:val="hybridMultilevel"/>
    <w:tmpl w:val="08109CE6"/>
    <w:lvl w:ilvl="0" w:tplc="26BA2C68">
      <w:start w:val="50"/>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C1B1A65"/>
    <w:multiLevelType w:val="hybridMultilevel"/>
    <w:tmpl w:val="A6CC61DE"/>
    <w:lvl w:ilvl="0" w:tplc="B99AD9EA">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0FCE129B"/>
    <w:multiLevelType w:val="hybridMultilevel"/>
    <w:tmpl w:val="F85A1606"/>
    <w:lvl w:ilvl="0" w:tplc="0409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39C02B2"/>
    <w:multiLevelType w:val="hybridMultilevel"/>
    <w:tmpl w:val="9C5AA5F2"/>
    <w:lvl w:ilvl="0" w:tplc="0D3897EA">
      <w:start w:val="2018"/>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3C80FEB"/>
    <w:multiLevelType w:val="hybridMultilevel"/>
    <w:tmpl w:val="AFF83600"/>
    <w:lvl w:ilvl="0" w:tplc="7BA4E0B8">
      <w:start w:val="38"/>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62A7C96"/>
    <w:multiLevelType w:val="hybridMultilevel"/>
    <w:tmpl w:val="B3F8B6D6"/>
    <w:lvl w:ilvl="0" w:tplc="BFBACF2A">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3"/>
  </w:num>
  <w:num w:numId="6">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4C20"/>
    <w:rsid w:val="00006B5C"/>
    <w:rsid w:val="00025237"/>
    <w:rsid w:val="0004396D"/>
    <w:rsid w:val="000443F6"/>
    <w:rsid w:val="000530F2"/>
    <w:rsid w:val="00062127"/>
    <w:rsid w:val="0006427C"/>
    <w:rsid w:val="00081049"/>
    <w:rsid w:val="000A3EC6"/>
    <w:rsid w:val="000A5D57"/>
    <w:rsid w:val="000C7C8B"/>
    <w:rsid w:val="000E132C"/>
    <w:rsid w:val="000E7072"/>
    <w:rsid w:val="000F3685"/>
    <w:rsid w:val="000F684E"/>
    <w:rsid w:val="00103DD9"/>
    <w:rsid w:val="00105F3A"/>
    <w:rsid w:val="00110EEA"/>
    <w:rsid w:val="001364C3"/>
    <w:rsid w:val="00147B01"/>
    <w:rsid w:val="00180BC3"/>
    <w:rsid w:val="0018457A"/>
    <w:rsid w:val="001D21E3"/>
    <w:rsid w:val="001D3D2D"/>
    <w:rsid w:val="001E2D85"/>
    <w:rsid w:val="001E5437"/>
    <w:rsid w:val="001F1393"/>
    <w:rsid w:val="001F17D0"/>
    <w:rsid w:val="001F64DA"/>
    <w:rsid w:val="00202C44"/>
    <w:rsid w:val="00212622"/>
    <w:rsid w:val="002133E3"/>
    <w:rsid w:val="00243331"/>
    <w:rsid w:val="00244D79"/>
    <w:rsid w:val="00245713"/>
    <w:rsid w:val="00266607"/>
    <w:rsid w:val="00266D48"/>
    <w:rsid w:val="00281305"/>
    <w:rsid w:val="00281E7D"/>
    <w:rsid w:val="0028390A"/>
    <w:rsid w:val="002A1C20"/>
    <w:rsid w:val="002B3317"/>
    <w:rsid w:val="002D0087"/>
    <w:rsid w:val="002D1304"/>
    <w:rsid w:val="002D24F6"/>
    <w:rsid w:val="002D589E"/>
    <w:rsid w:val="002E1E84"/>
    <w:rsid w:val="002E290D"/>
    <w:rsid w:val="002E344D"/>
    <w:rsid w:val="002E374E"/>
    <w:rsid w:val="00301C0F"/>
    <w:rsid w:val="00303E30"/>
    <w:rsid w:val="00322766"/>
    <w:rsid w:val="00330BAF"/>
    <w:rsid w:val="003356DA"/>
    <w:rsid w:val="00341EE2"/>
    <w:rsid w:val="003431F9"/>
    <w:rsid w:val="0036019C"/>
    <w:rsid w:val="00360A76"/>
    <w:rsid w:val="00360D8E"/>
    <w:rsid w:val="00361046"/>
    <w:rsid w:val="00381F8C"/>
    <w:rsid w:val="00385F6F"/>
    <w:rsid w:val="00390547"/>
    <w:rsid w:val="003920EC"/>
    <w:rsid w:val="00393E71"/>
    <w:rsid w:val="003A0A95"/>
    <w:rsid w:val="003A1D20"/>
    <w:rsid w:val="003A4ABC"/>
    <w:rsid w:val="003B2D7A"/>
    <w:rsid w:val="003B6298"/>
    <w:rsid w:val="003B62CC"/>
    <w:rsid w:val="003C5463"/>
    <w:rsid w:val="003C5A96"/>
    <w:rsid w:val="003D4C2B"/>
    <w:rsid w:val="0041353E"/>
    <w:rsid w:val="00436623"/>
    <w:rsid w:val="004412A4"/>
    <w:rsid w:val="00445FD0"/>
    <w:rsid w:val="004600A9"/>
    <w:rsid w:val="00462BE5"/>
    <w:rsid w:val="004768E3"/>
    <w:rsid w:val="00484A67"/>
    <w:rsid w:val="00487AA6"/>
    <w:rsid w:val="004A0AF1"/>
    <w:rsid w:val="004A5842"/>
    <w:rsid w:val="004A72C0"/>
    <w:rsid w:val="004C6042"/>
    <w:rsid w:val="004D173A"/>
    <w:rsid w:val="004E0C0D"/>
    <w:rsid w:val="004F0C43"/>
    <w:rsid w:val="00513112"/>
    <w:rsid w:val="00540074"/>
    <w:rsid w:val="00553022"/>
    <w:rsid w:val="00557DA6"/>
    <w:rsid w:val="00562F80"/>
    <w:rsid w:val="00575DD5"/>
    <w:rsid w:val="00592D82"/>
    <w:rsid w:val="00593AFF"/>
    <w:rsid w:val="005C1369"/>
    <w:rsid w:val="005C460A"/>
    <w:rsid w:val="005D7AC0"/>
    <w:rsid w:val="005D7C45"/>
    <w:rsid w:val="005E1451"/>
    <w:rsid w:val="005E37B9"/>
    <w:rsid w:val="005E4DDC"/>
    <w:rsid w:val="00601EA4"/>
    <w:rsid w:val="00604D49"/>
    <w:rsid w:val="0060512F"/>
    <w:rsid w:val="00605585"/>
    <w:rsid w:val="006270F4"/>
    <w:rsid w:val="0062749B"/>
    <w:rsid w:val="0063711D"/>
    <w:rsid w:val="0064516A"/>
    <w:rsid w:val="006456B6"/>
    <w:rsid w:val="00667A9D"/>
    <w:rsid w:val="00672AD1"/>
    <w:rsid w:val="00682013"/>
    <w:rsid w:val="006922C1"/>
    <w:rsid w:val="006A6015"/>
    <w:rsid w:val="006A6605"/>
    <w:rsid w:val="006C24DA"/>
    <w:rsid w:val="006C4311"/>
    <w:rsid w:val="006C666F"/>
    <w:rsid w:val="006D6211"/>
    <w:rsid w:val="006E0D9D"/>
    <w:rsid w:val="006E372A"/>
    <w:rsid w:val="007070AD"/>
    <w:rsid w:val="00710EF6"/>
    <w:rsid w:val="0071367B"/>
    <w:rsid w:val="0071393F"/>
    <w:rsid w:val="00734DA6"/>
    <w:rsid w:val="00736C6D"/>
    <w:rsid w:val="00745EF2"/>
    <w:rsid w:val="00751188"/>
    <w:rsid w:val="00764231"/>
    <w:rsid w:val="007643EC"/>
    <w:rsid w:val="00776A01"/>
    <w:rsid w:val="0078038C"/>
    <w:rsid w:val="00790EF5"/>
    <w:rsid w:val="00794D47"/>
    <w:rsid w:val="007C08F5"/>
    <w:rsid w:val="007C4C4A"/>
    <w:rsid w:val="007E22D7"/>
    <w:rsid w:val="007E65AA"/>
    <w:rsid w:val="007F1C06"/>
    <w:rsid w:val="007F2237"/>
    <w:rsid w:val="008020AE"/>
    <w:rsid w:val="00811576"/>
    <w:rsid w:val="00813292"/>
    <w:rsid w:val="008222E0"/>
    <w:rsid w:val="00824BA0"/>
    <w:rsid w:val="008362C6"/>
    <w:rsid w:val="008371E9"/>
    <w:rsid w:val="00843C64"/>
    <w:rsid w:val="00851132"/>
    <w:rsid w:val="008513EC"/>
    <w:rsid w:val="00854184"/>
    <w:rsid w:val="00854A6A"/>
    <w:rsid w:val="00863289"/>
    <w:rsid w:val="00871989"/>
    <w:rsid w:val="00871E55"/>
    <w:rsid w:val="00876589"/>
    <w:rsid w:val="00884345"/>
    <w:rsid w:val="00893577"/>
    <w:rsid w:val="00893928"/>
    <w:rsid w:val="00895970"/>
    <w:rsid w:val="00896364"/>
    <w:rsid w:val="008971B9"/>
    <w:rsid w:val="00897629"/>
    <w:rsid w:val="008A0111"/>
    <w:rsid w:val="008B2E2B"/>
    <w:rsid w:val="008B371B"/>
    <w:rsid w:val="008C2FB1"/>
    <w:rsid w:val="008C75F9"/>
    <w:rsid w:val="008D051A"/>
    <w:rsid w:val="008D0F42"/>
    <w:rsid w:val="008D2E87"/>
    <w:rsid w:val="008D798B"/>
    <w:rsid w:val="008E56DE"/>
    <w:rsid w:val="008F2D8D"/>
    <w:rsid w:val="008F2F88"/>
    <w:rsid w:val="00900C56"/>
    <w:rsid w:val="00912F22"/>
    <w:rsid w:val="009143F4"/>
    <w:rsid w:val="009207A1"/>
    <w:rsid w:val="00923982"/>
    <w:rsid w:val="00924C20"/>
    <w:rsid w:val="00944542"/>
    <w:rsid w:val="00945045"/>
    <w:rsid w:val="00955C1D"/>
    <w:rsid w:val="009573AB"/>
    <w:rsid w:val="00962C76"/>
    <w:rsid w:val="00964B77"/>
    <w:rsid w:val="00983C45"/>
    <w:rsid w:val="009A7301"/>
    <w:rsid w:val="009B13F9"/>
    <w:rsid w:val="009B7E8F"/>
    <w:rsid w:val="009E7F16"/>
    <w:rsid w:val="00A00FB6"/>
    <w:rsid w:val="00A15A5B"/>
    <w:rsid w:val="00A206B3"/>
    <w:rsid w:val="00A4326F"/>
    <w:rsid w:val="00A47CF8"/>
    <w:rsid w:val="00A62578"/>
    <w:rsid w:val="00A63708"/>
    <w:rsid w:val="00A73B9B"/>
    <w:rsid w:val="00A84AD3"/>
    <w:rsid w:val="00A93689"/>
    <w:rsid w:val="00A97DB4"/>
    <w:rsid w:val="00AA1C18"/>
    <w:rsid w:val="00AA250F"/>
    <w:rsid w:val="00AA70F3"/>
    <w:rsid w:val="00AB272F"/>
    <w:rsid w:val="00AB3326"/>
    <w:rsid w:val="00B1324A"/>
    <w:rsid w:val="00B1576C"/>
    <w:rsid w:val="00B2100C"/>
    <w:rsid w:val="00B350B0"/>
    <w:rsid w:val="00B56334"/>
    <w:rsid w:val="00B6144D"/>
    <w:rsid w:val="00B7299D"/>
    <w:rsid w:val="00B7675B"/>
    <w:rsid w:val="00B7782D"/>
    <w:rsid w:val="00B81184"/>
    <w:rsid w:val="00B94FA2"/>
    <w:rsid w:val="00BA1430"/>
    <w:rsid w:val="00BA417E"/>
    <w:rsid w:val="00BB40AC"/>
    <w:rsid w:val="00BC590A"/>
    <w:rsid w:val="00BD2442"/>
    <w:rsid w:val="00BD58C9"/>
    <w:rsid w:val="00BE455B"/>
    <w:rsid w:val="00BF118B"/>
    <w:rsid w:val="00BF27F9"/>
    <w:rsid w:val="00BF5A00"/>
    <w:rsid w:val="00C04F27"/>
    <w:rsid w:val="00C102A5"/>
    <w:rsid w:val="00C15D61"/>
    <w:rsid w:val="00C160C8"/>
    <w:rsid w:val="00C16B8D"/>
    <w:rsid w:val="00C21459"/>
    <w:rsid w:val="00C303C5"/>
    <w:rsid w:val="00C37F22"/>
    <w:rsid w:val="00C4146D"/>
    <w:rsid w:val="00C53C7C"/>
    <w:rsid w:val="00C57956"/>
    <w:rsid w:val="00C73D26"/>
    <w:rsid w:val="00C85280"/>
    <w:rsid w:val="00C87892"/>
    <w:rsid w:val="00C96C1B"/>
    <w:rsid w:val="00CA7CA9"/>
    <w:rsid w:val="00CC1731"/>
    <w:rsid w:val="00CF74A6"/>
    <w:rsid w:val="00D0258C"/>
    <w:rsid w:val="00D06485"/>
    <w:rsid w:val="00D10994"/>
    <w:rsid w:val="00D17ABB"/>
    <w:rsid w:val="00D24B82"/>
    <w:rsid w:val="00D477DC"/>
    <w:rsid w:val="00D53F31"/>
    <w:rsid w:val="00D72106"/>
    <w:rsid w:val="00D72E89"/>
    <w:rsid w:val="00D77C32"/>
    <w:rsid w:val="00D92523"/>
    <w:rsid w:val="00DA6B51"/>
    <w:rsid w:val="00DB199A"/>
    <w:rsid w:val="00DB61BC"/>
    <w:rsid w:val="00DC38A4"/>
    <w:rsid w:val="00DD513A"/>
    <w:rsid w:val="00DE30D7"/>
    <w:rsid w:val="00DE4A36"/>
    <w:rsid w:val="00E23CAB"/>
    <w:rsid w:val="00E24B59"/>
    <w:rsid w:val="00E4636B"/>
    <w:rsid w:val="00E50DBF"/>
    <w:rsid w:val="00E50EEE"/>
    <w:rsid w:val="00E5143C"/>
    <w:rsid w:val="00E750AB"/>
    <w:rsid w:val="00E77760"/>
    <w:rsid w:val="00E8418E"/>
    <w:rsid w:val="00E90432"/>
    <w:rsid w:val="00E91C1D"/>
    <w:rsid w:val="00E95D36"/>
    <w:rsid w:val="00EB3AD0"/>
    <w:rsid w:val="00EB53BD"/>
    <w:rsid w:val="00EB5462"/>
    <w:rsid w:val="00EC0AFC"/>
    <w:rsid w:val="00EC46DF"/>
    <w:rsid w:val="00EE2D71"/>
    <w:rsid w:val="00EE40D6"/>
    <w:rsid w:val="00EF7309"/>
    <w:rsid w:val="00EF765F"/>
    <w:rsid w:val="00F02104"/>
    <w:rsid w:val="00F127CC"/>
    <w:rsid w:val="00F17877"/>
    <w:rsid w:val="00F240D4"/>
    <w:rsid w:val="00F420E6"/>
    <w:rsid w:val="00F46318"/>
    <w:rsid w:val="00F7097C"/>
    <w:rsid w:val="00F80763"/>
    <w:rsid w:val="00F80C39"/>
    <w:rsid w:val="00F8765D"/>
    <w:rsid w:val="00F919C4"/>
    <w:rsid w:val="00F9262B"/>
    <w:rsid w:val="00F94881"/>
    <w:rsid w:val="00FA1A35"/>
    <w:rsid w:val="00FA1D17"/>
    <w:rsid w:val="00FA2C32"/>
    <w:rsid w:val="00FA5E0C"/>
    <w:rsid w:val="00FB188F"/>
    <w:rsid w:val="00FB62EA"/>
    <w:rsid w:val="00FB6DED"/>
    <w:rsid w:val="00FD1A4B"/>
    <w:rsid w:val="00FD24A2"/>
    <w:rsid w:val="00FD787C"/>
    <w:rsid w:val="00FE0274"/>
    <w:rsid w:val="00FE1F15"/>
    <w:rsid w:val="00FE71BE"/>
    <w:rsid w:val="00FF17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BE81C"/>
  <w15:docId w15:val="{0E96C42A-B075-4863-9F19-170F1D52C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924C20"/>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924C20"/>
    <w:pPr>
      <w:keepNext/>
      <w:autoSpaceDE w:val="0"/>
      <w:autoSpaceDN w:val="0"/>
      <w:adjustRightInd w:val="0"/>
      <w:jc w:val="both"/>
      <w:outlineLvl w:val="0"/>
    </w:pPr>
    <w:rPr>
      <w:b/>
      <w:bCs/>
      <w:color w:val="000000"/>
      <w:szCs w:val="28"/>
      <w:lang w:val="et-EE"/>
    </w:rPr>
  </w:style>
  <w:style w:type="paragraph" w:styleId="Pealkiri2">
    <w:name w:val="heading 2"/>
    <w:basedOn w:val="Normaallaad"/>
    <w:next w:val="Normaallaad"/>
    <w:link w:val="Pealkiri2Mrk"/>
    <w:unhideWhenUsed/>
    <w:qFormat/>
    <w:rsid w:val="00924C2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qFormat/>
    <w:rsid w:val="00924C20"/>
    <w:pPr>
      <w:keepNext/>
      <w:outlineLvl w:val="2"/>
    </w:pPr>
    <w:rPr>
      <w:b/>
      <w:bCs/>
      <w:lang w:val="et-EE"/>
    </w:rPr>
  </w:style>
  <w:style w:type="paragraph" w:styleId="Pealkiri4">
    <w:name w:val="heading 4"/>
    <w:basedOn w:val="Normaallaad"/>
    <w:next w:val="Normaallaad"/>
    <w:link w:val="Pealkiri4Mrk"/>
    <w:qFormat/>
    <w:rsid w:val="00924C20"/>
    <w:pPr>
      <w:keepNext/>
      <w:jc w:val="both"/>
      <w:outlineLvl w:val="3"/>
    </w:pPr>
    <w:rPr>
      <w:b/>
      <w:bCs/>
      <w:sz w:val="28"/>
      <w:lang w:val="et-EE"/>
    </w:rPr>
  </w:style>
  <w:style w:type="paragraph" w:styleId="Pealkiri5">
    <w:name w:val="heading 5"/>
    <w:basedOn w:val="Normaallaad"/>
    <w:next w:val="Normaallaad"/>
    <w:link w:val="Pealkiri5Mrk"/>
    <w:qFormat/>
    <w:rsid w:val="00924C20"/>
    <w:pPr>
      <w:keepNext/>
      <w:ind w:firstLine="360"/>
      <w:outlineLvl w:val="4"/>
    </w:pPr>
    <w:rPr>
      <w:b/>
      <w:bCs/>
      <w:szCs w:val="28"/>
      <w:lang w:val="et-EE"/>
    </w:rPr>
  </w:style>
  <w:style w:type="paragraph" w:styleId="Pealkiri6">
    <w:name w:val="heading 6"/>
    <w:basedOn w:val="Normaallaad"/>
    <w:next w:val="Normaallaad"/>
    <w:link w:val="Pealkiri6Mrk"/>
    <w:qFormat/>
    <w:rsid w:val="00924C20"/>
    <w:pPr>
      <w:keepNext/>
      <w:jc w:val="both"/>
      <w:outlineLvl w:val="5"/>
    </w:pPr>
    <w:rPr>
      <w:rFonts w:ascii="Arial" w:hAnsi="Arial" w:cs="Arial"/>
      <w:b/>
      <w:bCs/>
      <w:lang w:val="et-EE"/>
    </w:rPr>
  </w:style>
  <w:style w:type="paragraph" w:styleId="Pealkiri7">
    <w:name w:val="heading 7"/>
    <w:basedOn w:val="Normaallaad"/>
    <w:next w:val="Normaallaad"/>
    <w:link w:val="Pealkiri7Mrk"/>
    <w:qFormat/>
    <w:rsid w:val="00924C20"/>
    <w:pPr>
      <w:keepNext/>
      <w:tabs>
        <w:tab w:val="num" w:pos="1080"/>
      </w:tabs>
      <w:outlineLvl w:val="6"/>
    </w:pPr>
    <w:rPr>
      <w:rFonts w:ascii="Arial Narrow" w:hAnsi="Arial Narrow" w:cs="Tahoma"/>
      <w:b/>
      <w:bCs/>
      <w:lang w:val="et-EE"/>
    </w:rPr>
  </w:style>
  <w:style w:type="paragraph" w:styleId="Pealkiri8">
    <w:name w:val="heading 8"/>
    <w:basedOn w:val="Normaallaad"/>
    <w:next w:val="Normaallaad"/>
    <w:link w:val="Pealkiri8Mrk"/>
    <w:qFormat/>
    <w:rsid w:val="00924C20"/>
    <w:pPr>
      <w:keepNext/>
      <w:outlineLvl w:val="7"/>
    </w:pPr>
    <w:rPr>
      <w:b/>
      <w:bCs/>
      <w:sz w:val="20"/>
      <w:lang w:val="et-EE"/>
    </w:rPr>
  </w:style>
  <w:style w:type="paragraph" w:styleId="Pealkiri9">
    <w:name w:val="heading 9"/>
    <w:basedOn w:val="Normaallaad"/>
    <w:next w:val="Normaallaad"/>
    <w:link w:val="Pealkiri9Mrk"/>
    <w:qFormat/>
    <w:rsid w:val="00924C20"/>
    <w:pPr>
      <w:keepNext/>
      <w:jc w:val="both"/>
      <w:outlineLvl w:val="8"/>
    </w:pPr>
    <w:rPr>
      <w:u w:val="single"/>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924C20"/>
    <w:rPr>
      <w:rFonts w:ascii="Times New Roman" w:eastAsia="Times New Roman" w:hAnsi="Times New Roman" w:cs="Times New Roman"/>
      <w:b/>
      <w:bCs/>
      <w:color w:val="000000"/>
      <w:sz w:val="24"/>
      <w:szCs w:val="28"/>
      <w:lang w:val="et-EE"/>
    </w:rPr>
  </w:style>
  <w:style w:type="character" w:customStyle="1" w:styleId="Pealkiri2Mrk">
    <w:name w:val="Pealkiri 2 Märk"/>
    <w:basedOn w:val="Liguvaikefont"/>
    <w:link w:val="Pealkiri2"/>
    <w:rsid w:val="00924C20"/>
    <w:rPr>
      <w:rFonts w:asciiTheme="majorHAnsi" w:eastAsiaTheme="majorEastAsia" w:hAnsiTheme="majorHAnsi" w:cstheme="majorBidi"/>
      <w:b/>
      <w:bCs/>
      <w:color w:val="4F81BD" w:themeColor="accent1"/>
      <w:sz w:val="26"/>
      <w:szCs w:val="26"/>
      <w:lang w:val="en-GB"/>
    </w:rPr>
  </w:style>
  <w:style w:type="character" w:customStyle="1" w:styleId="Pealkiri3Mrk">
    <w:name w:val="Pealkiri 3 Märk"/>
    <w:basedOn w:val="Liguvaikefont"/>
    <w:link w:val="Pealkiri3"/>
    <w:rsid w:val="00924C20"/>
    <w:rPr>
      <w:rFonts w:ascii="Times New Roman" w:eastAsia="Times New Roman" w:hAnsi="Times New Roman" w:cs="Times New Roman"/>
      <w:b/>
      <w:bCs/>
      <w:sz w:val="24"/>
      <w:szCs w:val="24"/>
      <w:lang w:val="et-EE"/>
    </w:rPr>
  </w:style>
  <w:style w:type="character" w:customStyle="1" w:styleId="Pealkiri4Mrk">
    <w:name w:val="Pealkiri 4 Märk"/>
    <w:basedOn w:val="Liguvaikefont"/>
    <w:link w:val="Pealkiri4"/>
    <w:rsid w:val="00924C20"/>
    <w:rPr>
      <w:rFonts w:ascii="Times New Roman" w:eastAsia="Times New Roman" w:hAnsi="Times New Roman" w:cs="Times New Roman"/>
      <w:b/>
      <w:bCs/>
      <w:sz w:val="28"/>
      <w:szCs w:val="24"/>
      <w:lang w:val="et-EE"/>
    </w:rPr>
  </w:style>
  <w:style w:type="character" w:customStyle="1" w:styleId="Pealkiri5Mrk">
    <w:name w:val="Pealkiri 5 Märk"/>
    <w:basedOn w:val="Liguvaikefont"/>
    <w:link w:val="Pealkiri5"/>
    <w:rsid w:val="00924C20"/>
    <w:rPr>
      <w:rFonts w:ascii="Times New Roman" w:eastAsia="Times New Roman" w:hAnsi="Times New Roman" w:cs="Times New Roman"/>
      <w:b/>
      <w:bCs/>
      <w:sz w:val="24"/>
      <w:szCs w:val="28"/>
      <w:lang w:val="et-EE"/>
    </w:rPr>
  </w:style>
  <w:style w:type="character" w:customStyle="1" w:styleId="Pealkiri6Mrk">
    <w:name w:val="Pealkiri 6 Märk"/>
    <w:basedOn w:val="Liguvaikefont"/>
    <w:link w:val="Pealkiri6"/>
    <w:rsid w:val="00924C20"/>
    <w:rPr>
      <w:rFonts w:ascii="Arial" w:eastAsia="Times New Roman" w:hAnsi="Arial" w:cs="Arial"/>
      <w:b/>
      <w:bCs/>
      <w:sz w:val="24"/>
      <w:szCs w:val="24"/>
      <w:lang w:val="et-EE"/>
    </w:rPr>
  </w:style>
  <w:style w:type="character" w:customStyle="1" w:styleId="Pealkiri7Mrk">
    <w:name w:val="Pealkiri 7 Märk"/>
    <w:basedOn w:val="Liguvaikefont"/>
    <w:link w:val="Pealkiri7"/>
    <w:rsid w:val="00924C20"/>
    <w:rPr>
      <w:rFonts w:ascii="Arial Narrow" w:eastAsia="Times New Roman" w:hAnsi="Arial Narrow" w:cs="Tahoma"/>
      <w:b/>
      <w:bCs/>
      <w:sz w:val="24"/>
      <w:szCs w:val="24"/>
      <w:lang w:val="et-EE"/>
    </w:rPr>
  </w:style>
  <w:style w:type="character" w:customStyle="1" w:styleId="Pealkiri8Mrk">
    <w:name w:val="Pealkiri 8 Märk"/>
    <w:basedOn w:val="Liguvaikefont"/>
    <w:link w:val="Pealkiri8"/>
    <w:rsid w:val="00924C20"/>
    <w:rPr>
      <w:rFonts w:ascii="Times New Roman" w:eastAsia="Times New Roman" w:hAnsi="Times New Roman" w:cs="Times New Roman"/>
      <w:b/>
      <w:bCs/>
      <w:sz w:val="20"/>
      <w:szCs w:val="24"/>
      <w:lang w:val="et-EE"/>
    </w:rPr>
  </w:style>
  <w:style w:type="character" w:customStyle="1" w:styleId="Pealkiri9Mrk">
    <w:name w:val="Pealkiri 9 Märk"/>
    <w:basedOn w:val="Liguvaikefont"/>
    <w:link w:val="Pealkiri9"/>
    <w:rsid w:val="00924C20"/>
    <w:rPr>
      <w:rFonts w:ascii="Times New Roman" w:eastAsia="Times New Roman" w:hAnsi="Times New Roman" w:cs="Times New Roman"/>
      <w:sz w:val="24"/>
      <w:szCs w:val="24"/>
      <w:u w:val="single"/>
      <w:lang w:val="et-EE"/>
    </w:rPr>
  </w:style>
  <w:style w:type="paragraph" w:styleId="Jutumullitekst">
    <w:name w:val="Balloon Text"/>
    <w:basedOn w:val="Normaallaad"/>
    <w:link w:val="JutumullitekstMrk"/>
    <w:uiPriority w:val="99"/>
    <w:semiHidden/>
    <w:unhideWhenUsed/>
    <w:rsid w:val="00924C20"/>
    <w:rPr>
      <w:rFonts w:ascii="Tahoma" w:hAnsi="Tahoma" w:cs="Tahoma"/>
      <w:sz w:val="16"/>
      <w:szCs w:val="16"/>
    </w:rPr>
  </w:style>
  <w:style w:type="character" w:customStyle="1" w:styleId="JutumullitekstMrk">
    <w:name w:val="Jutumullitekst Märk"/>
    <w:basedOn w:val="Liguvaikefont"/>
    <w:link w:val="Jutumullitekst"/>
    <w:uiPriority w:val="99"/>
    <w:semiHidden/>
    <w:rsid w:val="00924C20"/>
    <w:rPr>
      <w:rFonts w:ascii="Tahoma" w:eastAsia="Times New Roman" w:hAnsi="Tahoma" w:cs="Tahoma"/>
      <w:sz w:val="16"/>
      <w:szCs w:val="16"/>
      <w:lang w:val="en-GB"/>
    </w:rPr>
  </w:style>
  <w:style w:type="paragraph" w:styleId="Kehatekst2">
    <w:name w:val="Body Text 2"/>
    <w:basedOn w:val="Normaallaad"/>
    <w:link w:val="Kehatekst2Mrk"/>
    <w:rsid w:val="00924C20"/>
    <w:pPr>
      <w:autoSpaceDE w:val="0"/>
      <w:autoSpaceDN w:val="0"/>
      <w:adjustRightInd w:val="0"/>
      <w:jc w:val="both"/>
    </w:pPr>
    <w:rPr>
      <w:lang w:val="et-EE"/>
    </w:rPr>
  </w:style>
  <w:style w:type="character" w:customStyle="1" w:styleId="Kehatekst2Mrk">
    <w:name w:val="Kehatekst 2 Märk"/>
    <w:basedOn w:val="Liguvaikefont"/>
    <w:link w:val="Kehatekst2"/>
    <w:rsid w:val="00924C20"/>
    <w:rPr>
      <w:rFonts w:ascii="Times New Roman" w:eastAsia="Times New Roman" w:hAnsi="Times New Roman" w:cs="Times New Roman"/>
      <w:sz w:val="24"/>
      <w:szCs w:val="24"/>
      <w:lang w:val="et-EE"/>
    </w:rPr>
  </w:style>
  <w:style w:type="paragraph" w:styleId="Kehatekst">
    <w:name w:val="Body Text"/>
    <w:basedOn w:val="Normaallaad"/>
    <w:link w:val="KehatekstMrk"/>
    <w:unhideWhenUsed/>
    <w:rsid w:val="00924C20"/>
    <w:pPr>
      <w:spacing w:after="120"/>
    </w:pPr>
  </w:style>
  <w:style w:type="character" w:customStyle="1" w:styleId="KehatekstMrk">
    <w:name w:val="Kehatekst Märk"/>
    <w:basedOn w:val="Liguvaikefont"/>
    <w:link w:val="Kehatekst"/>
    <w:rsid w:val="00924C20"/>
    <w:rPr>
      <w:rFonts w:ascii="Times New Roman" w:eastAsia="Times New Roman" w:hAnsi="Times New Roman" w:cs="Times New Roman"/>
      <w:sz w:val="24"/>
      <w:szCs w:val="24"/>
      <w:lang w:val="en-GB"/>
    </w:rPr>
  </w:style>
  <w:style w:type="paragraph" w:styleId="Jalus">
    <w:name w:val="footer"/>
    <w:basedOn w:val="Normaallaad"/>
    <w:link w:val="JalusMrk"/>
    <w:uiPriority w:val="99"/>
    <w:rsid w:val="00924C20"/>
    <w:pPr>
      <w:tabs>
        <w:tab w:val="center" w:pos="4153"/>
        <w:tab w:val="right" w:pos="8306"/>
      </w:tabs>
    </w:pPr>
  </w:style>
  <w:style w:type="character" w:customStyle="1" w:styleId="JalusMrk">
    <w:name w:val="Jalus Märk"/>
    <w:basedOn w:val="Liguvaikefont"/>
    <w:link w:val="Jalus"/>
    <w:uiPriority w:val="99"/>
    <w:rsid w:val="00924C20"/>
    <w:rPr>
      <w:rFonts w:ascii="Times New Roman" w:eastAsia="Times New Roman" w:hAnsi="Times New Roman" w:cs="Times New Roman"/>
      <w:sz w:val="24"/>
      <w:szCs w:val="24"/>
      <w:lang w:val="en-GB"/>
    </w:rPr>
  </w:style>
  <w:style w:type="character" w:styleId="Lehekljenumber">
    <w:name w:val="page number"/>
    <w:basedOn w:val="Liguvaikefont"/>
    <w:rsid w:val="00924C20"/>
  </w:style>
  <w:style w:type="paragraph" w:styleId="Kehatekst3">
    <w:name w:val="Body Text 3"/>
    <w:basedOn w:val="Normaallaad"/>
    <w:link w:val="Kehatekst3Mrk"/>
    <w:rsid w:val="00924C20"/>
    <w:pPr>
      <w:widowControl w:val="0"/>
    </w:pPr>
    <w:rPr>
      <w:snapToGrid w:val="0"/>
      <w:lang w:val="et-EE"/>
    </w:rPr>
  </w:style>
  <w:style w:type="character" w:customStyle="1" w:styleId="Kehatekst3Mrk">
    <w:name w:val="Kehatekst 3 Märk"/>
    <w:basedOn w:val="Liguvaikefont"/>
    <w:link w:val="Kehatekst3"/>
    <w:rsid w:val="00924C20"/>
    <w:rPr>
      <w:rFonts w:ascii="Times New Roman" w:eastAsia="Times New Roman" w:hAnsi="Times New Roman" w:cs="Times New Roman"/>
      <w:snapToGrid w:val="0"/>
      <w:sz w:val="24"/>
      <w:szCs w:val="24"/>
      <w:lang w:val="et-EE"/>
    </w:rPr>
  </w:style>
  <w:style w:type="paragraph" w:customStyle="1" w:styleId="xl23">
    <w:name w:val="xl23"/>
    <w:basedOn w:val="Normaallaad"/>
    <w:rsid w:val="00924C20"/>
    <w:pPr>
      <w:pBdr>
        <w:left w:val="single" w:sz="4" w:space="0" w:color="auto"/>
        <w:bottom w:val="single" w:sz="4" w:space="0" w:color="auto"/>
        <w:right w:val="single" w:sz="4" w:space="0" w:color="auto"/>
      </w:pBdr>
      <w:spacing w:before="100" w:beforeAutospacing="1" w:after="100" w:afterAutospacing="1"/>
    </w:pPr>
  </w:style>
  <w:style w:type="paragraph" w:styleId="Allmrkusetekst">
    <w:name w:val="footnote text"/>
    <w:basedOn w:val="Normaallaad"/>
    <w:link w:val="AllmrkusetekstMrk"/>
    <w:semiHidden/>
    <w:rsid w:val="00924C20"/>
    <w:rPr>
      <w:sz w:val="20"/>
      <w:szCs w:val="20"/>
    </w:rPr>
  </w:style>
  <w:style w:type="character" w:customStyle="1" w:styleId="AllmrkusetekstMrk">
    <w:name w:val="Allmärkuse tekst Märk"/>
    <w:basedOn w:val="Liguvaikefont"/>
    <w:link w:val="Allmrkusetekst"/>
    <w:semiHidden/>
    <w:rsid w:val="00924C20"/>
    <w:rPr>
      <w:rFonts w:ascii="Times New Roman" w:eastAsia="Times New Roman" w:hAnsi="Times New Roman" w:cs="Times New Roman"/>
      <w:sz w:val="20"/>
      <w:szCs w:val="20"/>
      <w:lang w:val="en-GB"/>
    </w:rPr>
  </w:style>
  <w:style w:type="paragraph" w:customStyle="1" w:styleId="xl31">
    <w:name w:val="xl31"/>
    <w:basedOn w:val="Normaallaad"/>
    <w:rsid w:val="00924C20"/>
    <w:pPr>
      <w:pBdr>
        <w:left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27">
    <w:name w:val="xl27"/>
    <w:basedOn w:val="Normaallaad"/>
    <w:rsid w:val="00924C2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styleId="Taandegakehatekst">
    <w:name w:val="Body Text Indent"/>
    <w:basedOn w:val="Normaallaad"/>
    <w:link w:val="TaandegakehatekstMrk"/>
    <w:rsid w:val="00924C20"/>
    <w:pPr>
      <w:tabs>
        <w:tab w:val="num" w:pos="1080"/>
      </w:tabs>
      <w:ind w:left="360" w:hanging="360"/>
    </w:pPr>
    <w:rPr>
      <w:rFonts w:ascii="Tahoma" w:hAnsi="Tahoma" w:cs="Tahoma"/>
      <w:u w:val="single"/>
      <w:lang w:val="et-EE"/>
    </w:rPr>
  </w:style>
  <w:style w:type="character" w:customStyle="1" w:styleId="TaandegakehatekstMrk">
    <w:name w:val="Taandega kehatekst Märk"/>
    <w:basedOn w:val="Liguvaikefont"/>
    <w:link w:val="Taandegakehatekst"/>
    <w:rsid w:val="00924C20"/>
    <w:rPr>
      <w:rFonts w:ascii="Tahoma" w:eastAsia="Times New Roman" w:hAnsi="Tahoma" w:cs="Tahoma"/>
      <w:sz w:val="24"/>
      <w:szCs w:val="24"/>
      <w:u w:val="single"/>
      <w:lang w:val="et-EE"/>
    </w:rPr>
  </w:style>
  <w:style w:type="paragraph" w:styleId="Taandegakehatekst2">
    <w:name w:val="Body Text Indent 2"/>
    <w:basedOn w:val="Normaallaad"/>
    <w:link w:val="Taandegakehatekst2Mrk"/>
    <w:rsid w:val="00924C20"/>
    <w:pPr>
      <w:tabs>
        <w:tab w:val="num" w:pos="1080"/>
      </w:tabs>
      <w:ind w:left="360" w:hanging="360"/>
    </w:pPr>
    <w:rPr>
      <w:rFonts w:ascii="Tahoma" w:hAnsi="Tahoma" w:cs="Tahoma"/>
      <w:sz w:val="20"/>
      <w:u w:val="single"/>
      <w:lang w:val="et-EE"/>
    </w:rPr>
  </w:style>
  <w:style w:type="character" w:customStyle="1" w:styleId="Taandegakehatekst2Mrk">
    <w:name w:val="Taandega kehatekst 2 Märk"/>
    <w:basedOn w:val="Liguvaikefont"/>
    <w:link w:val="Taandegakehatekst2"/>
    <w:rsid w:val="00924C20"/>
    <w:rPr>
      <w:rFonts w:ascii="Tahoma" w:eastAsia="Times New Roman" w:hAnsi="Tahoma" w:cs="Tahoma"/>
      <w:sz w:val="20"/>
      <w:szCs w:val="24"/>
      <w:u w:val="single"/>
      <w:lang w:val="et-EE"/>
    </w:rPr>
  </w:style>
  <w:style w:type="paragraph" w:styleId="Pis">
    <w:name w:val="header"/>
    <w:basedOn w:val="Normaallaad"/>
    <w:link w:val="PisMrk"/>
    <w:rsid w:val="00924C20"/>
    <w:pPr>
      <w:tabs>
        <w:tab w:val="center" w:pos="4153"/>
        <w:tab w:val="right" w:pos="8306"/>
      </w:tabs>
    </w:pPr>
  </w:style>
  <w:style w:type="character" w:customStyle="1" w:styleId="PisMrk">
    <w:name w:val="Päis Märk"/>
    <w:basedOn w:val="Liguvaikefont"/>
    <w:link w:val="Pis"/>
    <w:rsid w:val="00924C20"/>
    <w:rPr>
      <w:rFonts w:ascii="Times New Roman" w:eastAsia="Times New Roman" w:hAnsi="Times New Roman" w:cs="Times New Roman"/>
      <w:sz w:val="24"/>
      <w:szCs w:val="24"/>
      <w:lang w:val="en-GB"/>
    </w:rPr>
  </w:style>
  <w:style w:type="paragraph" w:customStyle="1" w:styleId="Vaikimisi">
    <w:name w:val="Vaikimisi"/>
    <w:rsid w:val="00924C20"/>
    <w:pPr>
      <w:widowControl w:val="0"/>
      <w:autoSpaceDE w:val="0"/>
      <w:autoSpaceDN w:val="0"/>
      <w:adjustRightInd w:val="0"/>
      <w:spacing w:after="0" w:line="240" w:lineRule="auto"/>
    </w:pPr>
    <w:rPr>
      <w:rFonts w:ascii="Times New Roman" w:eastAsia="Times New Roman" w:hAnsi="Tahoma" w:cs="Tahoma"/>
      <w:sz w:val="24"/>
      <w:szCs w:val="24"/>
      <w:lang w:val="et-EE"/>
    </w:rPr>
  </w:style>
  <w:style w:type="character" w:customStyle="1" w:styleId="Tugevrhutus1">
    <w:name w:val="Tugev rõhutus1"/>
    <w:qFormat/>
    <w:rsid w:val="00924C20"/>
    <w:rPr>
      <w:b/>
      <w:bCs/>
      <w:lang w:val="et-EE"/>
    </w:rPr>
  </w:style>
  <w:style w:type="paragraph" w:customStyle="1" w:styleId="H3">
    <w:name w:val="H3"/>
    <w:basedOn w:val="Normaallaad"/>
    <w:next w:val="Normaallaad"/>
    <w:rsid w:val="00924C20"/>
    <w:pPr>
      <w:keepNext/>
      <w:spacing w:before="100" w:after="100"/>
      <w:outlineLvl w:val="3"/>
    </w:pPr>
    <w:rPr>
      <w:b/>
      <w:snapToGrid w:val="0"/>
      <w:sz w:val="28"/>
      <w:szCs w:val="20"/>
      <w:lang w:val="et-EE"/>
    </w:rPr>
  </w:style>
  <w:style w:type="paragraph" w:customStyle="1" w:styleId="H4">
    <w:name w:val="H4"/>
    <w:basedOn w:val="Normaallaad"/>
    <w:next w:val="Normaallaad"/>
    <w:rsid w:val="00924C20"/>
    <w:pPr>
      <w:keepNext/>
      <w:spacing w:before="100" w:after="100"/>
      <w:outlineLvl w:val="4"/>
    </w:pPr>
    <w:rPr>
      <w:b/>
      <w:snapToGrid w:val="0"/>
      <w:szCs w:val="20"/>
      <w:lang w:val="et-EE"/>
    </w:rPr>
  </w:style>
  <w:style w:type="paragraph" w:styleId="Taandegakehatekst3">
    <w:name w:val="Body Text Indent 3"/>
    <w:basedOn w:val="Normaallaad"/>
    <w:link w:val="Taandegakehatekst3Mrk"/>
    <w:rsid w:val="00924C20"/>
    <w:pPr>
      <w:ind w:left="720"/>
      <w:jc w:val="both"/>
    </w:pPr>
    <w:rPr>
      <w:lang w:val="et-EE"/>
    </w:rPr>
  </w:style>
  <w:style w:type="character" w:customStyle="1" w:styleId="Taandegakehatekst3Mrk">
    <w:name w:val="Taandega kehatekst 3 Märk"/>
    <w:basedOn w:val="Liguvaikefont"/>
    <w:link w:val="Taandegakehatekst3"/>
    <w:rsid w:val="00924C20"/>
    <w:rPr>
      <w:rFonts w:ascii="Times New Roman" w:eastAsia="Times New Roman" w:hAnsi="Times New Roman" w:cs="Times New Roman"/>
      <w:sz w:val="24"/>
      <w:szCs w:val="24"/>
      <w:lang w:val="et-EE"/>
    </w:rPr>
  </w:style>
  <w:style w:type="paragraph" w:styleId="SK1">
    <w:name w:val="toc 1"/>
    <w:basedOn w:val="Normaallaad"/>
    <w:next w:val="Normaallaad"/>
    <w:autoRedefine/>
    <w:uiPriority w:val="39"/>
    <w:rsid w:val="00924C20"/>
    <w:pPr>
      <w:tabs>
        <w:tab w:val="right" w:leader="dot" w:pos="8296"/>
      </w:tabs>
      <w:ind w:right="790"/>
    </w:pPr>
    <w:rPr>
      <w:b/>
      <w:bCs/>
      <w:noProof/>
    </w:rPr>
  </w:style>
  <w:style w:type="paragraph" w:styleId="SK2">
    <w:name w:val="toc 2"/>
    <w:basedOn w:val="Normaallaad"/>
    <w:next w:val="Normaallaad"/>
    <w:autoRedefine/>
    <w:uiPriority w:val="39"/>
    <w:rsid w:val="00924C20"/>
    <w:pPr>
      <w:tabs>
        <w:tab w:val="right" w:leader="dot" w:pos="8296"/>
      </w:tabs>
      <w:ind w:left="240" w:right="790"/>
    </w:pPr>
    <w:rPr>
      <w:b/>
      <w:bCs/>
      <w:noProof/>
    </w:rPr>
  </w:style>
  <w:style w:type="paragraph" w:styleId="SK3">
    <w:name w:val="toc 3"/>
    <w:basedOn w:val="Normaallaad"/>
    <w:next w:val="Normaallaad"/>
    <w:autoRedefine/>
    <w:uiPriority w:val="39"/>
    <w:rsid w:val="00924C20"/>
    <w:pPr>
      <w:tabs>
        <w:tab w:val="left" w:pos="540"/>
        <w:tab w:val="right" w:leader="dot" w:pos="8296"/>
      </w:tabs>
      <w:ind w:left="480" w:right="790"/>
    </w:pPr>
    <w:rPr>
      <w:noProof/>
    </w:rPr>
  </w:style>
  <w:style w:type="paragraph" w:styleId="SK4">
    <w:name w:val="toc 4"/>
    <w:basedOn w:val="Normaallaad"/>
    <w:next w:val="Normaallaad"/>
    <w:autoRedefine/>
    <w:rsid w:val="00924C20"/>
    <w:pPr>
      <w:ind w:left="720"/>
    </w:pPr>
  </w:style>
  <w:style w:type="paragraph" w:styleId="SK5">
    <w:name w:val="toc 5"/>
    <w:basedOn w:val="Normaallaad"/>
    <w:next w:val="Normaallaad"/>
    <w:autoRedefine/>
    <w:rsid w:val="00924C20"/>
    <w:pPr>
      <w:ind w:left="960"/>
    </w:pPr>
  </w:style>
  <w:style w:type="paragraph" w:styleId="SK6">
    <w:name w:val="toc 6"/>
    <w:basedOn w:val="Normaallaad"/>
    <w:next w:val="Normaallaad"/>
    <w:autoRedefine/>
    <w:rsid w:val="00924C20"/>
    <w:pPr>
      <w:ind w:left="1200"/>
    </w:pPr>
  </w:style>
  <w:style w:type="paragraph" w:styleId="SK7">
    <w:name w:val="toc 7"/>
    <w:basedOn w:val="Normaallaad"/>
    <w:next w:val="Normaallaad"/>
    <w:autoRedefine/>
    <w:rsid w:val="00924C20"/>
    <w:pPr>
      <w:ind w:left="1440"/>
    </w:pPr>
  </w:style>
  <w:style w:type="paragraph" w:styleId="SK8">
    <w:name w:val="toc 8"/>
    <w:basedOn w:val="Normaallaad"/>
    <w:next w:val="Normaallaad"/>
    <w:autoRedefine/>
    <w:rsid w:val="00924C20"/>
    <w:pPr>
      <w:ind w:left="1680"/>
    </w:pPr>
  </w:style>
  <w:style w:type="paragraph" w:styleId="SK9">
    <w:name w:val="toc 9"/>
    <w:basedOn w:val="Normaallaad"/>
    <w:next w:val="Normaallaad"/>
    <w:autoRedefine/>
    <w:rsid w:val="00924C20"/>
    <w:pPr>
      <w:ind w:left="1920"/>
    </w:pPr>
  </w:style>
  <w:style w:type="character" w:styleId="Hperlink">
    <w:name w:val="Hyperlink"/>
    <w:uiPriority w:val="99"/>
    <w:rsid w:val="00924C20"/>
    <w:rPr>
      <w:color w:val="0000FF"/>
      <w:u w:val="single"/>
    </w:rPr>
  </w:style>
  <w:style w:type="character" w:customStyle="1" w:styleId="text1">
    <w:name w:val="text1"/>
    <w:rsid w:val="00924C20"/>
    <w:rPr>
      <w:rFonts w:ascii="Arial" w:hAnsi="Arial" w:cs="Arial" w:hint="default"/>
      <w:strike w:val="0"/>
      <w:dstrike w:val="0"/>
      <w:color w:val="000000"/>
      <w:spacing w:val="255"/>
      <w:sz w:val="18"/>
      <w:szCs w:val="18"/>
      <w:u w:val="none"/>
      <w:effect w:val="none"/>
    </w:rPr>
  </w:style>
  <w:style w:type="character" w:styleId="Klastatudhperlink">
    <w:name w:val="FollowedHyperlink"/>
    <w:rsid w:val="00924C20"/>
    <w:rPr>
      <w:color w:val="800080"/>
      <w:u w:val="single"/>
    </w:rPr>
  </w:style>
  <w:style w:type="character" w:customStyle="1" w:styleId="Hyperlink1">
    <w:name w:val="Hyperlink1"/>
    <w:rsid w:val="00924C20"/>
    <w:rPr>
      <w:rFonts w:ascii="Arial" w:hAnsi="Arial" w:cs="Arial" w:hint="default"/>
      <w:strike w:val="0"/>
      <w:dstrike w:val="0"/>
      <w:color w:val="910000"/>
      <w:u w:val="none"/>
      <w:effect w:val="none"/>
    </w:rPr>
  </w:style>
  <w:style w:type="paragraph" w:styleId="Normaallaadveeb">
    <w:name w:val="Normal (Web)"/>
    <w:basedOn w:val="Normaallaad"/>
    <w:uiPriority w:val="99"/>
    <w:rsid w:val="00924C20"/>
    <w:pPr>
      <w:spacing w:before="100" w:beforeAutospacing="1" w:after="100" w:afterAutospacing="1"/>
    </w:pPr>
    <w:rPr>
      <w:rFonts w:ascii="Verdana" w:hAnsi="Verdana"/>
      <w:color w:val="000000"/>
      <w:sz w:val="17"/>
      <w:szCs w:val="17"/>
    </w:rPr>
  </w:style>
  <w:style w:type="character" w:styleId="Rhutus">
    <w:name w:val="Emphasis"/>
    <w:qFormat/>
    <w:rsid w:val="00924C20"/>
    <w:rPr>
      <w:i/>
      <w:iCs/>
    </w:rPr>
  </w:style>
  <w:style w:type="paragraph" w:customStyle="1" w:styleId="alapealkiri">
    <w:name w:val="alapealkiri"/>
    <w:basedOn w:val="Normaallaad"/>
    <w:rsid w:val="00924C20"/>
    <w:pPr>
      <w:spacing w:before="100" w:beforeAutospacing="1" w:after="100" w:afterAutospacing="1"/>
    </w:pPr>
    <w:rPr>
      <w:rFonts w:ascii="Arial" w:eastAsia="Arial Unicode MS" w:hAnsi="Arial" w:cs="Arial"/>
      <w:color w:val="000000"/>
      <w:sz w:val="18"/>
      <w:szCs w:val="18"/>
    </w:rPr>
  </w:style>
  <w:style w:type="paragraph" w:customStyle="1" w:styleId="text">
    <w:name w:val="text"/>
    <w:basedOn w:val="Normaallaad"/>
    <w:rsid w:val="00924C20"/>
    <w:pPr>
      <w:spacing w:before="100" w:beforeAutospacing="1" w:after="100" w:afterAutospacing="1" w:line="255" w:lineRule="atLeast"/>
    </w:pPr>
    <w:rPr>
      <w:rFonts w:ascii="Arial" w:eastAsia="Arial Unicode MS" w:hAnsi="Arial" w:cs="Arial"/>
      <w:color w:val="000000"/>
      <w:sz w:val="18"/>
      <w:szCs w:val="18"/>
    </w:rPr>
  </w:style>
  <w:style w:type="character" w:styleId="Tugev">
    <w:name w:val="Strong"/>
    <w:qFormat/>
    <w:rsid w:val="00924C20"/>
    <w:rPr>
      <w:b/>
      <w:bCs/>
    </w:rPr>
  </w:style>
  <w:style w:type="paragraph" w:customStyle="1" w:styleId="xl33">
    <w:name w:val="xl33"/>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sz w:val="18"/>
      <w:szCs w:val="18"/>
    </w:rPr>
  </w:style>
  <w:style w:type="paragraph" w:customStyle="1" w:styleId="font5">
    <w:name w:val="font5"/>
    <w:basedOn w:val="Normaallaad"/>
    <w:rsid w:val="00924C20"/>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allaad"/>
    <w:rsid w:val="00924C20"/>
    <w:pPr>
      <w:spacing w:before="100" w:beforeAutospacing="1" w:after="100" w:afterAutospacing="1"/>
    </w:pPr>
    <w:rPr>
      <w:rFonts w:ascii="Tahoma" w:eastAsia="Arial Unicode MS" w:hAnsi="Tahoma" w:cs="Tahoma"/>
      <w:b/>
      <w:bCs/>
      <w:color w:val="000000"/>
      <w:sz w:val="16"/>
      <w:szCs w:val="16"/>
    </w:rPr>
  </w:style>
  <w:style w:type="paragraph" w:customStyle="1" w:styleId="font7">
    <w:name w:val="font7"/>
    <w:basedOn w:val="Normaallaad"/>
    <w:rsid w:val="00924C20"/>
    <w:pPr>
      <w:spacing w:before="100" w:beforeAutospacing="1" w:after="100" w:afterAutospacing="1"/>
    </w:pPr>
    <w:rPr>
      <w:rFonts w:eastAsia="Arial Unicode MS"/>
      <w:i/>
      <w:iCs/>
      <w:color w:val="FF00FF"/>
      <w:sz w:val="20"/>
      <w:szCs w:val="20"/>
    </w:rPr>
  </w:style>
  <w:style w:type="paragraph" w:customStyle="1" w:styleId="xl28">
    <w:name w:val="xl28"/>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i/>
      <w:iCs/>
    </w:rPr>
  </w:style>
  <w:style w:type="paragraph" w:customStyle="1" w:styleId="xl29">
    <w:name w:val="xl29"/>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rPr>
  </w:style>
  <w:style w:type="paragraph" w:customStyle="1" w:styleId="xl30">
    <w:name w:val="xl30"/>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sz w:val="16"/>
      <w:szCs w:val="16"/>
    </w:rPr>
  </w:style>
  <w:style w:type="paragraph" w:customStyle="1" w:styleId="xl32">
    <w:name w:val="xl32"/>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sz w:val="18"/>
      <w:szCs w:val="18"/>
    </w:rPr>
  </w:style>
  <w:style w:type="paragraph" w:customStyle="1" w:styleId="xl34">
    <w:name w:val="xl34"/>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sz w:val="18"/>
      <w:szCs w:val="18"/>
    </w:rPr>
  </w:style>
  <w:style w:type="paragraph" w:customStyle="1" w:styleId="xl35">
    <w:name w:val="xl35"/>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rPr>
  </w:style>
  <w:style w:type="paragraph" w:customStyle="1" w:styleId="xl36">
    <w:name w:val="xl36"/>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sz w:val="18"/>
      <w:szCs w:val="18"/>
    </w:rPr>
  </w:style>
  <w:style w:type="paragraph" w:customStyle="1" w:styleId="xl37">
    <w:name w:val="xl37"/>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6"/>
      <w:szCs w:val="16"/>
    </w:rPr>
  </w:style>
  <w:style w:type="paragraph" w:customStyle="1" w:styleId="xl38">
    <w:name w:val="xl38"/>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39">
    <w:name w:val="xl39"/>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40">
    <w:name w:val="xl40"/>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xl41">
    <w:name w:val="xl41"/>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rPr>
  </w:style>
  <w:style w:type="paragraph" w:customStyle="1" w:styleId="xl42">
    <w:name w:val="xl42"/>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rPr>
  </w:style>
  <w:style w:type="paragraph" w:customStyle="1" w:styleId="xl43">
    <w:name w:val="xl43"/>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44">
    <w:name w:val="xl44"/>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45">
    <w:name w:val="xl45"/>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46">
    <w:name w:val="xl46"/>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47">
    <w:name w:val="xl47"/>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28"/>
      <w:szCs w:val="28"/>
    </w:rPr>
  </w:style>
  <w:style w:type="paragraph" w:customStyle="1" w:styleId="xl48">
    <w:name w:val="xl48"/>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8"/>
      <w:szCs w:val="28"/>
    </w:rPr>
  </w:style>
  <w:style w:type="paragraph" w:customStyle="1" w:styleId="xl49">
    <w:name w:val="xl49"/>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rPr>
  </w:style>
  <w:style w:type="paragraph" w:customStyle="1" w:styleId="xl50">
    <w:name w:val="xl50"/>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xl51">
    <w:name w:val="xl51"/>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rPr>
  </w:style>
  <w:style w:type="paragraph" w:customStyle="1" w:styleId="xl52">
    <w:name w:val="xl52"/>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rPr>
  </w:style>
  <w:style w:type="paragraph" w:customStyle="1" w:styleId="xl53">
    <w:name w:val="xl53"/>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olor w:val="000000"/>
    </w:rPr>
  </w:style>
  <w:style w:type="paragraph" w:customStyle="1" w:styleId="xl54">
    <w:name w:val="xl54"/>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5">
    <w:name w:val="xl55"/>
    <w:basedOn w:val="Normaallaad"/>
    <w:rsid w:val="00924C20"/>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rFonts w:eastAsia="Arial Unicode MS"/>
      <w:sz w:val="18"/>
      <w:szCs w:val="18"/>
    </w:rPr>
  </w:style>
  <w:style w:type="paragraph" w:customStyle="1" w:styleId="xl56">
    <w:name w:val="xl56"/>
    <w:basedOn w:val="Normaallaad"/>
    <w:rsid w:val="00924C20"/>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rFonts w:eastAsia="Arial Unicode MS"/>
    </w:rPr>
  </w:style>
  <w:style w:type="paragraph" w:customStyle="1" w:styleId="xl57">
    <w:name w:val="xl57"/>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rPr>
  </w:style>
  <w:style w:type="paragraph" w:customStyle="1" w:styleId="xl58">
    <w:name w:val="xl58"/>
    <w:basedOn w:val="Normaallaad"/>
    <w:rsid w:val="00924C20"/>
    <w:pPr>
      <w:pBdr>
        <w:top w:val="single" w:sz="4" w:space="0" w:color="auto"/>
        <w:left w:val="single" w:sz="4" w:space="0" w:color="auto"/>
        <w:right w:val="single" w:sz="4" w:space="0" w:color="auto"/>
      </w:pBdr>
      <w:shd w:val="clear" w:color="auto" w:fill="FF99CC"/>
      <w:spacing w:before="100" w:beforeAutospacing="1" w:after="100" w:afterAutospacing="1"/>
      <w:textAlignment w:val="center"/>
    </w:pPr>
    <w:rPr>
      <w:rFonts w:eastAsia="Arial Unicode MS"/>
      <w:b/>
      <w:bCs/>
      <w:sz w:val="22"/>
      <w:szCs w:val="22"/>
    </w:rPr>
  </w:style>
  <w:style w:type="paragraph" w:customStyle="1" w:styleId="xl59">
    <w:name w:val="xl59"/>
    <w:basedOn w:val="Normaallaad"/>
    <w:rsid w:val="00924C20"/>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60">
    <w:name w:val="xl60"/>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61">
    <w:name w:val="xl61"/>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2">
    <w:name w:val="xl62"/>
    <w:basedOn w:val="Normaallaad"/>
    <w:rsid w:val="00924C2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eastAsia="Arial Unicode MS"/>
      <w:i/>
      <w:iCs/>
    </w:rPr>
  </w:style>
  <w:style w:type="paragraph" w:customStyle="1" w:styleId="xl63">
    <w:name w:val="xl63"/>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64">
    <w:name w:val="xl64"/>
    <w:basedOn w:val="Normaallaad"/>
    <w:rsid w:val="00924C2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rFonts w:eastAsia="Arial Unicode MS"/>
      <w:b/>
      <w:bCs/>
      <w:sz w:val="22"/>
      <w:szCs w:val="22"/>
    </w:rPr>
  </w:style>
  <w:style w:type="paragraph" w:customStyle="1" w:styleId="xl65">
    <w:name w:val="xl65"/>
    <w:basedOn w:val="Normaallaad"/>
    <w:rsid w:val="00924C2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Arial Unicode MS" w:eastAsia="Arial Unicode MS" w:hAnsi="Arial Unicode MS" w:cs="Arial Unicode MS"/>
    </w:rPr>
  </w:style>
  <w:style w:type="paragraph" w:customStyle="1" w:styleId="xl66">
    <w:name w:val="xl66"/>
    <w:basedOn w:val="Normaallaad"/>
    <w:rsid w:val="00924C2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eastAsia="Arial Unicode MS"/>
      <w:b/>
      <w:bCs/>
    </w:rPr>
  </w:style>
  <w:style w:type="paragraph" w:customStyle="1" w:styleId="xl67">
    <w:name w:val="xl67"/>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b/>
      <w:bCs/>
      <w:sz w:val="22"/>
      <w:szCs w:val="22"/>
    </w:rPr>
  </w:style>
  <w:style w:type="paragraph" w:customStyle="1" w:styleId="xl68">
    <w:name w:val="xl68"/>
    <w:basedOn w:val="Normaallaad"/>
    <w:rsid w:val="00924C2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eastAsia="Arial Unicode MS"/>
      <w:b/>
      <w:bCs/>
    </w:rPr>
  </w:style>
  <w:style w:type="paragraph" w:customStyle="1" w:styleId="xl69">
    <w:name w:val="xl69"/>
    <w:basedOn w:val="Normaallaad"/>
    <w:rsid w:val="00924C2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eastAsia="Arial Unicode MS"/>
      <w:b/>
      <w:bCs/>
    </w:rPr>
  </w:style>
  <w:style w:type="paragraph" w:customStyle="1" w:styleId="xl70">
    <w:name w:val="xl70"/>
    <w:basedOn w:val="Normaallaad"/>
    <w:rsid w:val="00924C2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eastAsia="Arial Unicode MS"/>
      <w:b/>
      <w:bCs/>
    </w:rPr>
  </w:style>
  <w:style w:type="paragraph" w:customStyle="1" w:styleId="xl71">
    <w:name w:val="xl71"/>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sz w:val="16"/>
      <w:szCs w:val="16"/>
    </w:rPr>
  </w:style>
  <w:style w:type="paragraph" w:customStyle="1" w:styleId="xl72">
    <w:name w:val="xl72"/>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sz w:val="18"/>
      <w:szCs w:val="18"/>
    </w:rPr>
  </w:style>
  <w:style w:type="paragraph" w:customStyle="1" w:styleId="xl86">
    <w:name w:val="xl86"/>
    <w:basedOn w:val="Normaallaad"/>
    <w:rsid w:val="00924C20"/>
    <w:pPr>
      <w:spacing w:before="100" w:beforeAutospacing="1" w:after="100" w:afterAutospacing="1"/>
    </w:pPr>
    <w:rPr>
      <w:rFonts w:eastAsia="Arial Unicode MS"/>
      <w:sz w:val="18"/>
      <w:szCs w:val="18"/>
    </w:rPr>
  </w:style>
  <w:style w:type="paragraph" w:customStyle="1" w:styleId="xl73">
    <w:name w:val="xl73"/>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i/>
      <w:iCs/>
      <w:sz w:val="18"/>
      <w:szCs w:val="18"/>
    </w:rPr>
  </w:style>
  <w:style w:type="paragraph" w:customStyle="1" w:styleId="xl74">
    <w:name w:val="xl74"/>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sz w:val="18"/>
      <w:szCs w:val="18"/>
    </w:rPr>
  </w:style>
  <w:style w:type="paragraph" w:customStyle="1" w:styleId="xl75">
    <w:name w:val="xl75"/>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sz w:val="18"/>
      <w:szCs w:val="18"/>
    </w:rPr>
  </w:style>
  <w:style w:type="paragraph" w:customStyle="1" w:styleId="xl76">
    <w:name w:val="xl76"/>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sz w:val="18"/>
      <w:szCs w:val="18"/>
    </w:rPr>
  </w:style>
  <w:style w:type="paragraph" w:customStyle="1" w:styleId="xl77">
    <w:name w:val="xl77"/>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sz w:val="18"/>
      <w:szCs w:val="18"/>
    </w:rPr>
  </w:style>
  <w:style w:type="paragraph" w:customStyle="1" w:styleId="xl78">
    <w:name w:val="xl78"/>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8"/>
      <w:szCs w:val="18"/>
    </w:rPr>
  </w:style>
  <w:style w:type="paragraph" w:customStyle="1" w:styleId="xl79">
    <w:name w:val="xl79"/>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Arial Unicode MS"/>
      <w:sz w:val="18"/>
      <w:szCs w:val="18"/>
    </w:rPr>
  </w:style>
  <w:style w:type="paragraph" w:customStyle="1" w:styleId="xl80">
    <w:name w:val="xl80"/>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sz w:val="18"/>
      <w:szCs w:val="18"/>
    </w:rPr>
  </w:style>
  <w:style w:type="paragraph" w:customStyle="1" w:styleId="xl81">
    <w:name w:val="xl81"/>
    <w:basedOn w:val="Normaallaad"/>
    <w:rsid w:val="00924C20"/>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rPr>
      <w:rFonts w:eastAsia="Arial Unicode MS"/>
      <w:sz w:val="18"/>
      <w:szCs w:val="18"/>
    </w:rPr>
  </w:style>
  <w:style w:type="paragraph" w:customStyle="1" w:styleId="xl82">
    <w:name w:val="xl82"/>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customStyle="1" w:styleId="xl83">
    <w:name w:val="xl83"/>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sz w:val="18"/>
      <w:szCs w:val="18"/>
    </w:rPr>
  </w:style>
  <w:style w:type="paragraph" w:customStyle="1" w:styleId="xl84">
    <w:name w:val="xl84"/>
    <w:basedOn w:val="Normaallaad"/>
    <w:rsid w:val="00924C20"/>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rFonts w:eastAsia="Arial Unicode MS"/>
      <w:i/>
      <w:iCs/>
      <w:sz w:val="18"/>
      <w:szCs w:val="18"/>
    </w:rPr>
  </w:style>
  <w:style w:type="paragraph" w:customStyle="1" w:styleId="xl85">
    <w:name w:val="xl85"/>
    <w:basedOn w:val="Normaallaad"/>
    <w:rsid w:val="00924C2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rFonts w:eastAsia="Arial Unicode MS"/>
      <w:sz w:val="18"/>
      <w:szCs w:val="18"/>
    </w:rPr>
  </w:style>
  <w:style w:type="paragraph" w:customStyle="1" w:styleId="xl87">
    <w:name w:val="xl87"/>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sz w:val="18"/>
      <w:szCs w:val="18"/>
    </w:rPr>
  </w:style>
  <w:style w:type="paragraph" w:customStyle="1" w:styleId="xl88">
    <w:name w:val="xl88"/>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customStyle="1" w:styleId="xl89">
    <w:name w:val="xl89"/>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sz w:val="18"/>
      <w:szCs w:val="18"/>
    </w:rPr>
  </w:style>
  <w:style w:type="paragraph" w:customStyle="1" w:styleId="xl90">
    <w:name w:val="xl90"/>
    <w:basedOn w:val="Normaallaad"/>
    <w:rsid w:val="00924C20"/>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rPr>
      <w:rFonts w:eastAsia="Arial Unicode MS"/>
      <w:sz w:val="18"/>
      <w:szCs w:val="18"/>
    </w:rPr>
  </w:style>
  <w:style w:type="paragraph" w:customStyle="1" w:styleId="xl91">
    <w:name w:val="xl91"/>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b/>
      <w:bCs/>
      <w:sz w:val="18"/>
      <w:szCs w:val="18"/>
    </w:rPr>
  </w:style>
  <w:style w:type="paragraph" w:customStyle="1" w:styleId="xl92">
    <w:name w:val="xl92"/>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Arial Unicode MS"/>
      <w:sz w:val="18"/>
      <w:szCs w:val="18"/>
    </w:rPr>
  </w:style>
  <w:style w:type="paragraph" w:customStyle="1" w:styleId="xl93">
    <w:name w:val="xl93"/>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sz w:val="18"/>
      <w:szCs w:val="18"/>
    </w:rPr>
  </w:style>
  <w:style w:type="paragraph" w:customStyle="1" w:styleId="xl94">
    <w:name w:val="xl94"/>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customStyle="1" w:styleId="xl95">
    <w:name w:val="xl95"/>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sz w:val="18"/>
      <w:szCs w:val="18"/>
    </w:rPr>
  </w:style>
  <w:style w:type="paragraph" w:customStyle="1" w:styleId="xl96">
    <w:name w:val="xl96"/>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Arial Unicode MS"/>
      <w:sz w:val="18"/>
      <w:szCs w:val="18"/>
    </w:rPr>
  </w:style>
  <w:style w:type="paragraph" w:customStyle="1" w:styleId="xl97">
    <w:name w:val="xl97"/>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sz w:val="18"/>
      <w:szCs w:val="18"/>
    </w:rPr>
  </w:style>
  <w:style w:type="paragraph" w:customStyle="1" w:styleId="xl98">
    <w:name w:val="xl98"/>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b/>
      <w:bCs/>
      <w:sz w:val="18"/>
      <w:szCs w:val="18"/>
    </w:rPr>
  </w:style>
  <w:style w:type="paragraph" w:customStyle="1" w:styleId="xl99">
    <w:name w:val="xl99"/>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i/>
      <w:iCs/>
      <w:sz w:val="18"/>
      <w:szCs w:val="18"/>
    </w:rPr>
  </w:style>
  <w:style w:type="paragraph" w:customStyle="1" w:styleId="xl100">
    <w:name w:val="xl100"/>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i/>
      <w:iCs/>
      <w:sz w:val="18"/>
      <w:szCs w:val="18"/>
    </w:rPr>
  </w:style>
  <w:style w:type="paragraph" w:customStyle="1" w:styleId="xl101">
    <w:name w:val="xl101"/>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8"/>
      <w:szCs w:val="18"/>
    </w:rPr>
  </w:style>
  <w:style w:type="paragraph" w:customStyle="1" w:styleId="xl102">
    <w:name w:val="xl102"/>
    <w:basedOn w:val="Normaallaad"/>
    <w:rsid w:val="00924C20"/>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sz w:val="18"/>
      <w:szCs w:val="18"/>
    </w:rPr>
  </w:style>
  <w:style w:type="paragraph" w:customStyle="1" w:styleId="xl103">
    <w:name w:val="xl103"/>
    <w:basedOn w:val="Normaallaad"/>
    <w:rsid w:val="00924C20"/>
    <w:pPr>
      <w:pBdr>
        <w:top w:val="single" w:sz="4" w:space="0" w:color="auto"/>
        <w:left w:val="single" w:sz="4" w:space="0" w:color="auto"/>
        <w:right w:val="single" w:sz="4" w:space="0" w:color="auto"/>
      </w:pBdr>
      <w:spacing w:before="100" w:beforeAutospacing="1" w:after="100" w:afterAutospacing="1"/>
      <w:jc w:val="right"/>
      <w:textAlignment w:val="center"/>
    </w:pPr>
    <w:rPr>
      <w:rFonts w:eastAsia="Arial Unicode MS"/>
      <w:sz w:val="18"/>
      <w:szCs w:val="18"/>
    </w:rPr>
  </w:style>
  <w:style w:type="paragraph" w:customStyle="1" w:styleId="xl104">
    <w:name w:val="xl104"/>
    <w:basedOn w:val="Normaallaad"/>
    <w:rsid w:val="00924C20"/>
    <w:pPr>
      <w:pBdr>
        <w:top w:val="single" w:sz="4" w:space="0" w:color="auto"/>
        <w:left w:val="single" w:sz="4" w:space="0" w:color="auto"/>
        <w:right w:val="single" w:sz="4" w:space="0" w:color="auto"/>
      </w:pBdr>
      <w:spacing w:before="100" w:beforeAutospacing="1" w:after="100" w:afterAutospacing="1"/>
      <w:textAlignment w:val="center"/>
    </w:pPr>
    <w:rPr>
      <w:rFonts w:eastAsia="Arial Unicode MS"/>
      <w:sz w:val="18"/>
      <w:szCs w:val="18"/>
    </w:rPr>
  </w:style>
  <w:style w:type="paragraph" w:customStyle="1" w:styleId="xl105">
    <w:name w:val="xl105"/>
    <w:basedOn w:val="Normaallaad"/>
    <w:rsid w:val="00924C20"/>
    <w:pPr>
      <w:spacing w:before="100" w:beforeAutospacing="1" w:after="100" w:afterAutospacing="1"/>
      <w:textAlignment w:val="center"/>
    </w:pPr>
    <w:rPr>
      <w:rFonts w:eastAsia="Arial Unicode MS"/>
      <w:sz w:val="18"/>
      <w:szCs w:val="18"/>
    </w:rPr>
  </w:style>
  <w:style w:type="paragraph" w:customStyle="1" w:styleId="xl106">
    <w:name w:val="xl106"/>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18"/>
      <w:szCs w:val="18"/>
    </w:rPr>
  </w:style>
  <w:style w:type="paragraph" w:customStyle="1" w:styleId="xl107">
    <w:name w:val="xl107"/>
    <w:basedOn w:val="Normaallaad"/>
    <w:rsid w:val="00924C2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Arial Unicode MS"/>
      <w:sz w:val="18"/>
      <w:szCs w:val="18"/>
    </w:rPr>
  </w:style>
  <w:style w:type="paragraph" w:customStyle="1" w:styleId="xl108">
    <w:name w:val="xl108"/>
    <w:basedOn w:val="Normaallaad"/>
    <w:rsid w:val="00924C2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eastAsia="Arial Unicode MS"/>
      <w:sz w:val="18"/>
      <w:szCs w:val="18"/>
    </w:rPr>
  </w:style>
  <w:style w:type="paragraph" w:customStyle="1" w:styleId="xl109">
    <w:name w:val="xl109"/>
    <w:basedOn w:val="Normaallaad"/>
    <w:rsid w:val="00924C2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eastAsia="Arial Unicode MS"/>
      <w:sz w:val="18"/>
      <w:szCs w:val="18"/>
    </w:rPr>
  </w:style>
  <w:style w:type="paragraph" w:customStyle="1" w:styleId="xl110">
    <w:name w:val="xl110"/>
    <w:basedOn w:val="Normaallaad"/>
    <w:rsid w:val="00924C2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eastAsia="Arial Unicode MS"/>
      <w:i/>
      <w:iCs/>
      <w:sz w:val="18"/>
      <w:szCs w:val="18"/>
    </w:rPr>
  </w:style>
  <w:style w:type="paragraph" w:customStyle="1" w:styleId="xl111">
    <w:name w:val="xl111"/>
    <w:basedOn w:val="Normaallaad"/>
    <w:rsid w:val="00924C2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eastAsia="Arial Unicode MS"/>
      <w:sz w:val="18"/>
      <w:szCs w:val="18"/>
    </w:rPr>
  </w:style>
  <w:style w:type="paragraph" w:customStyle="1" w:styleId="xl112">
    <w:name w:val="xl112"/>
    <w:basedOn w:val="Normaallaad"/>
    <w:rsid w:val="00924C2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eastAsia="Arial Unicode MS"/>
      <w:sz w:val="18"/>
      <w:szCs w:val="18"/>
    </w:rPr>
  </w:style>
  <w:style w:type="paragraph" w:customStyle="1" w:styleId="xl113">
    <w:name w:val="xl113"/>
    <w:basedOn w:val="Normaallaad"/>
    <w:rsid w:val="00924C2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eastAsia="Arial Unicode MS"/>
      <w:sz w:val="18"/>
      <w:szCs w:val="18"/>
    </w:rPr>
  </w:style>
  <w:style w:type="paragraph" w:customStyle="1" w:styleId="xl114">
    <w:name w:val="xl114"/>
    <w:basedOn w:val="Normaallaad"/>
    <w:rsid w:val="00924C2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eastAsia="Arial Unicode MS"/>
      <w:sz w:val="18"/>
      <w:szCs w:val="18"/>
    </w:rPr>
  </w:style>
  <w:style w:type="paragraph" w:customStyle="1" w:styleId="xl115">
    <w:name w:val="xl115"/>
    <w:basedOn w:val="Normaallaad"/>
    <w:rsid w:val="00924C2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eastAsia="Arial Unicode MS"/>
      <w:sz w:val="18"/>
      <w:szCs w:val="18"/>
    </w:rPr>
  </w:style>
  <w:style w:type="paragraph" w:customStyle="1" w:styleId="xl116">
    <w:name w:val="xl116"/>
    <w:basedOn w:val="Normaallaad"/>
    <w:rsid w:val="00924C2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rFonts w:eastAsia="Arial Unicode MS"/>
      <w:b/>
      <w:bCs/>
      <w:sz w:val="18"/>
      <w:szCs w:val="18"/>
    </w:rPr>
  </w:style>
  <w:style w:type="paragraph" w:customStyle="1" w:styleId="xl117">
    <w:name w:val="xl117"/>
    <w:basedOn w:val="Normaallaad"/>
    <w:rsid w:val="00924C2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eastAsia="Arial Unicode MS"/>
      <w:b/>
      <w:bCs/>
      <w:sz w:val="18"/>
      <w:szCs w:val="18"/>
    </w:rPr>
  </w:style>
  <w:style w:type="paragraph" w:customStyle="1" w:styleId="xl118">
    <w:name w:val="xl118"/>
    <w:basedOn w:val="Normaallaad"/>
    <w:rsid w:val="00924C2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eastAsia="Arial Unicode MS"/>
      <w:sz w:val="18"/>
      <w:szCs w:val="18"/>
    </w:rPr>
  </w:style>
  <w:style w:type="paragraph" w:customStyle="1" w:styleId="xl119">
    <w:name w:val="xl119"/>
    <w:basedOn w:val="Normaallaad"/>
    <w:rsid w:val="00924C2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eastAsia="Arial Unicode MS"/>
      <w:sz w:val="18"/>
      <w:szCs w:val="18"/>
    </w:rPr>
  </w:style>
  <w:style w:type="paragraph" w:customStyle="1" w:styleId="xl120">
    <w:name w:val="xl120"/>
    <w:basedOn w:val="Normaallaad"/>
    <w:rsid w:val="00924C20"/>
    <w:pPr>
      <w:pBdr>
        <w:top w:val="single" w:sz="8" w:space="0" w:color="auto"/>
        <w:left w:val="single" w:sz="8" w:space="0" w:color="auto"/>
        <w:bottom w:val="single" w:sz="4" w:space="0" w:color="auto"/>
        <w:right w:val="single" w:sz="4" w:space="0" w:color="auto"/>
      </w:pBdr>
      <w:shd w:val="clear" w:color="auto" w:fill="FF99CC"/>
      <w:spacing w:before="100" w:beforeAutospacing="1" w:after="100" w:afterAutospacing="1"/>
      <w:jc w:val="center"/>
    </w:pPr>
    <w:rPr>
      <w:rFonts w:eastAsia="Arial Unicode MS"/>
      <w:b/>
      <w:bCs/>
      <w:i/>
      <w:iCs/>
      <w:sz w:val="22"/>
      <w:szCs w:val="22"/>
    </w:rPr>
  </w:style>
  <w:style w:type="paragraph" w:customStyle="1" w:styleId="xl121">
    <w:name w:val="xl121"/>
    <w:basedOn w:val="Normaallaad"/>
    <w:rsid w:val="00924C20"/>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eastAsia="Arial Unicode MS"/>
      <w:b/>
      <w:bCs/>
      <w:sz w:val="22"/>
      <w:szCs w:val="22"/>
    </w:rPr>
  </w:style>
  <w:style w:type="paragraph" w:customStyle="1" w:styleId="xl122">
    <w:name w:val="xl122"/>
    <w:basedOn w:val="Normaallaad"/>
    <w:rsid w:val="00924C20"/>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Arial Unicode MS"/>
      <w:b/>
      <w:bCs/>
      <w:sz w:val="22"/>
      <w:szCs w:val="22"/>
    </w:rPr>
  </w:style>
  <w:style w:type="paragraph" w:customStyle="1" w:styleId="xl123">
    <w:name w:val="xl123"/>
    <w:basedOn w:val="Normaallaad"/>
    <w:rsid w:val="00924C2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eastAsia="Arial Unicode MS"/>
      <w:i/>
      <w:iCs/>
      <w:sz w:val="18"/>
      <w:szCs w:val="18"/>
    </w:rPr>
  </w:style>
  <w:style w:type="paragraph" w:customStyle="1" w:styleId="xl124">
    <w:name w:val="xl124"/>
    <w:basedOn w:val="Normaallaad"/>
    <w:rsid w:val="00924C20"/>
    <w:pPr>
      <w:pBdr>
        <w:top w:val="single" w:sz="8" w:space="0" w:color="auto"/>
        <w:left w:val="single" w:sz="8" w:space="0" w:color="auto"/>
        <w:bottom w:val="single" w:sz="8" w:space="0" w:color="auto"/>
      </w:pBdr>
      <w:spacing w:before="100" w:beforeAutospacing="1" w:after="100" w:afterAutospacing="1"/>
      <w:jc w:val="center"/>
      <w:textAlignment w:val="center"/>
    </w:pPr>
    <w:rPr>
      <w:rFonts w:eastAsia="Arial Unicode MS"/>
      <w:b/>
      <w:bCs/>
      <w:sz w:val="36"/>
      <w:szCs w:val="36"/>
    </w:rPr>
  </w:style>
  <w:style w:type="paragraph" w:customStyle="1" w:styleId="xl125">
    <w:name w:val="xl125"/>
    <w:basedOn w:val="Normaallaad"/>
    <w:rsid w:val="00924C20"/>
    <w:pPr>
      <w:pBdr>
        <w:top w:val="single" w:sz="8" w:space="0" w:color="auto"/>
        <w:bottom w:val="single" w:sz="8" w:space="0" w:color="auto"/>
      </w:pBdr>
      <w:spacing w:before="100" w:beforeAutospacing="1" w:after="100" w:afterAutospacing="1"/>
      <w:jc w:val="center"/>
    </w:pPr>
    <w:rPr>
      <w:rFonts w:eastAsia="Arial Unicode MS"/>
      <w:sz w:val="36"/>
      <w:szCs w:val="36"/>
    </w:rPr>
  </w:style>
  <w:style w:type="paragraph" w:customStyle="1" w:styleId="xl126">
    <w:name w:val="xl126"/>
    <w:basedOn w:val="Normaallaad"/>
    <w:rsid w:val="00924C20"/>
    <w:pPr>
      <w:pBdr>
        <w:top w:val="single" w:sz="8" w:space="0" w:color="auto"/>
        <w:bottom w:val="single" w:sz="8" w:space="0" w:color="auto"/>
        <w:right w:val="single" w:sz="8" w:space="0" w:color="auto"/>
      </w:pBdr>
      <w:spacing w:before="100" w:beforeAutospacing="1" w:after="100" w:afterAutospacing="1"/>
      <w:jc w:val="center"/>
    </w:pPr>
    <w:rPr>
      <w:rFonts w:eastAsia="Arial Unicode MS"/>
      <w:sz w:val="36"/>
      <w:szCs w:val="36"/>
    </w:rPr>
  </w:style>
  <w:style w:type="paragraph" w:customStyle="1" w:styleId="xl127">
    <w:name w:val="xl127"/>
    <w:basedOn w:val="Normaallaad"/>
    <w:rsid w:val="00924C20"/>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22"/>
      <w:szCs w:val="22"/>
    </w:rPr>
  </w:style>
  <w:style w:type="paragraph" w:customStyle="1" w:styleId="xl128">
    <w:name w:val="xl128"/>
    <w:basedOn w:val="Normaallaad"/>
    <w:rsid w:val="00924C20"/>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2"/>
      <w:szCs w:val="22"/>
    </w:rPr>
  </w:style>
  <w:style w:type="paragraph" w:customStyle="1" w:styleId="xl129">
    <w:name w:val="xl129"/>
    <w:basedOn w:val="Normaallaad"/>
    <w:rsid w:val="00924C20"/>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2"/>
      <w:szCs w:val="22"/>
    </w:rPr>
  </w:style>
  <w:style w:type="paragraph" w:customStyle="1" w:styleId="xl130">
    <w:name w:val="xl130"/>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22"/>
      <w:szCs w:val="22"/>
    </w:rPr>
  </w:style>
  <w:style w:type="paragraph" w:customStyle="1" w:styleId="xl131">
    <w:name w:val="xl131"/>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2"/>
      <w:szCs w:val="22"/>
    </w:rPr>
  </w:style>
  <w:style w:type="paragraph" w:customStyle="1" w:styleId="xl132">
    <w:name w:val="xl132"/>
    <w:basedOn w:val="Normaallaad"/>
    <w:rsid w:val="00924C20"/>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2"/>
      <w:szCs w:val="22"/>
    </w:rPr>
  </w:style>
  <w:style w:type="paragraph" w:customStyle="1" w:styleId="xl133">
    <w:name w:val="xl133"/>
    <w:basedOn w:val="Normaallaad"/>
    <w:rsid w:val="00924C2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2"/>
      <w:szCs w:val="22"/>
    </w:rPr>
  </w:style>
  <w:style w:type="paragraph" w:customStyle="1" w:styleId="xl134">
    <w:name w:val="xl134"/>
    <w:basedOn w:val="Normaallaad"/>
    <w:rsid w:val="00924C2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2"/>
      <w:szCs w:val="22"/>
    </w:rPr>
  </w:style>
  <w:style w:type="paragraph" w:customStyle="1" w:styleId="xl135">
    <w:name w:val="xl135"/>
    <w:basedOn w:val="Normaallaad"/>
    <w:rsid w:val="00924C20"/>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2"/>
      <w:szCs w:val="22"/>
    </w:rPr>
  </w:style>
  <w:style w:type="paragraph" w:customStyle="1" w:styleId="xl136">
    <w:name w:val="xl136"/>
    <w:basedOn w:val="Normaallaad"/>
    <w:rsid w:val="00924C20"/>
    <w:pPr>
      <w:pBdr>
        <w:top w:val="single" w:sz="4" w:space="0" w:color="auto"/>
        <w:left w:val="single" w:sz="4" w:space="0" w:color="auto"/>
        <w:bottom w:val="single" w:sz="4" w:space="0" w:color="auto"/>
      </w:pBdr>
      <w:shd w:val="clear" w:color="auto" w:fill="CCFFFF"/>
      <w:spacing w:before="100" w:beforeAutospacing="1" w:after="100" w:afterAutospacing="1"/>
      <w:textAlignment w:val="center"/>
    </w:pPr>
    <w:rPr>
      <w:rFonts w:eastAsia="Arial Unicode MS"/>
      <w:b/>
      <w:bCs/>
      <w:sz w:val="18"/>
      <w:szCs w:val="18"/>
    </w:rPr>
  </w:style>
  <w:style w:type="paragraph" w:customStyle="1" w:styleId="xl137">
    <w:name w:val="xl137"/>
    <w:basedOn w:val="Normaallaad"/>
    <w:rsid w:val="00924C20"/>
    <w:pPr>
      <w:pBdr>
        <w:top w:val="single" w:sz="4" w:space="0" w:color="auto"/>
        <w:bottom w:val="single" w:sz="4" w:space="0" w:color="auto"/>
      </w:pBdr>
      <w:spacing w:before="100" w:beforeAutospacing="1" w:after="100" w:afterAutospacing="1"/>
    </w:pPr>
    <w:rPr>
      <w:rFonts w:eastAsia="Arial Unicode MS"/>
      <w:sz w:val="18"/>
      <w:szCs w:val="18"/>
    </w:rPr>
  </w:style>
  <w:style w:type="paragraph" w:customStyle="1" w:styleId="xl138">
    <w:name w:val="xl138"/>
    <w:basedOn w:val="Normaallaad"/>
    <w:rsid w:val="00924C20"/>
    <w:pPr>
      <w:pBdr>
        <w:top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customStyle="1" w:styleId="xl139">
    <w:name w:val="xl139"/>
    <w:basedOn w:val="Normaallaad"/>
    <w:rsid w:val="00924C2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sz w:val="28"/>
      <w:szCs w:val="28"/>
    </w:rPr>
  </w:style>
  <w:style w:type="paragraph" w:customStyle="1" w:styleId="xl140">
    <w:name w:val="xl140"/>
    <w:basedOn w:val="Normaallaad"/>
    <w:rsid w:val="00924C20"/>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141">
    <w:name w:val="xl141"/>
    <w:basedOn w:val="Normaallaad"/>
    <w:rsid w:val="00924C2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eastAsia="Arial Unicode MS"/>
      <w:b/>
      <w:bCs/>
      <w:sz w:val="18"/>
      <w:szCs w:val="18"/>
    </w:rPr>
  </w:style>
  <w:style w:type="paragraph" w:customStyle="1" w:styleId="xl142">
    <w:name w:val="xl142"/>
    <w:basedOn w:val="Normaallaad"/>
    <w:rsid w:val="00924C20"/>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sz w:val="18"/>
      <w:szCs w:val="18"/>
    </w:rPr>
  </w:style>
  <w:style w:type="paragraph" w:customStyle="1" w:styleId="xl143">
    <w:name w:val="xl143"/>
    <w:basedOn w:val="Normaallaad"/>
    <w:rsid w:val="00924C20"/>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sz w:val="18"/>
      <w:szCs w:val="18"/>
    </w:rPr>
  </w:style>
  <w:style w:type="paragraph" w:customStyle="1" w:styleId="xl144">
    <w:name w:val="xl144"/>
    <w:basedOn w:val="Normaallaad"/>
    <w:rsid w:val="00924C2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eastAsia="Arial Unicode MS"/>
      <w:b/>
      <w:bCs/>
      <w:sz w:val="18"/>
      <w:szCs w:val="18"/>
    </w:rPr>
  </w:style>
  <w:style w:type="paragraph" w:customStyle="1" w:styleId="xl145">
    <w:name w:val="xl145"/>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sz w:val="18"/>
      <w:szCs w:val="18"/>
    </w:rPr>
  </w:style>
  <w:style w:type="paragraph" w:customStyle="1" w:styleId="xl146">
    <w:name w:val="xl146"/>
    <w:basedOn w:val="Normaallaad"/>
    <w:rsid w:val="00924C20"/>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eastAsia="Arial Unicode MS"/>
      <w:b/>
      <w:bCs/>
      <w:sz w:val="18"/>
      <w:szCs w:val="18"/>
    </w:rPr>
  </w:style>
  <w:style w:type="paragraph" w:customStyle="1" w:styleId="xl147">
    <w:name w:val="xl147"/>
    <w:basedOn w:val="Normaallaad"/>
    <w:rsid w:val="00924C20"/>
    <w:pPr>
      <w:pBdr>
        <w:top w:val="single" w:sz="4" w:space="0" w:color="auto"/>
        <w:bottom w:val="single" w:sz="4" w:space="0" w:color="auto"/>
      </w:pBdr>
      <w:shd w:val="clear" w:color="auto" w:fill="C0C0C0"/>
      <w:spacing w:before="100" w:beforeAutospacing="1" w:after="100" w:afterAutospacing="1"/>
      <w:textAlignment w:val="center"/>
    </w:pPr>
    <w:rPr>
      <w:rFonts w:eastAsia="Arial Unicode MS"/>
      <w:b/>
      <w:bCs/>
      <w:sz w:val="18"/>
      <w:szCs w:val="18"/>
    </w:rPr>
  </w:style>
  <w:style w:type="paragraph" w:customStyle="1" w:styleId="xl148">
    <w:name w:val="xl148"/>
    <w:basedOn w:val="Normaallaad"/>
    <w:rsid w:val="00924C20"/>
    <w:pPr>
      <w:pBdr>
        <w:top w:val="single" w:sz="4" w:space="0" w:color="auto"/>
        <w:bottom w:val="single" w:sz="4" w:space="0" w:color="auto"/>
        <w:right w:val="single" w:sz="4" w:space="0" w:color="auto"/>
      </w:pBdr>
      <w:shd w:val="clear" w:color="auto" w:fill="C0C0C0"/>
      <w:spacing w:before="100" w:beforeAutospacing="1" w:after="100" w:afterAutospacing="1"/>
      <w:textAlignment w:val="center"/>
    </w:pPr>
    <w:rPr>
      <w:rFonts w:eastAsia="Arial Unicode MS"/>
      <w:b/>
      <w:bCs/>
      <w:sz w:val="18"/>
      <w:szCs w:val="18"/>
    </w:rPr>
  </w:style>
  <w:style w:type="paragraph" w:customStyle="1" w:styleId="xl149">
    <w:name w:val="xl149"/>
    <w:basedOn w:val="Normaallaad"/>
    <w:rsid w:val="00924C20"/>
    <w:pPr>
      <w:pBdr>
        <w:top w:val="single" w:sz="4" w:space="0" w:color="auto"/>
        <w:left w:val="single" w:sz="4" w:space="0" w:color="auto"/>
        <w:bottom w:val="single" w:sz="4" w:space="0" w:color="auto"/>
      </w:pBdr>
      <w:shd w:val="clear" w:color="auto" w:fill="FFFF99"/>
      <w:spacing w:before="100" w:beforeAutospacing="1" w:after="100" w:afterAutospacing="1"/>
      <w:textAlignment w:val="center"/>
    </w:pPr>
    <w:rPr>
      <w:rFonts w:eastAsia="Arial Unicode MS"/>
      <w:sz w:val="18"/>
      <w:szCs w:val="18"/>
    </w:rPr>
  </w:style>
  <w:style w:type="paragraph" w:customStyle="1" w:styleId="xl150">
    <w:name w:val="xl150"/>
    <w:basedOn w:val="Normaallaad"/>
    <w:rsid w:val="00924C20"/>
    <w:pPr>
      <w:pBdr>
        <w:top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51">
    <w:name w:val="xl151"/>
    <w:basedOn w:val="Normaallaad"/>
    <w:rsid w:val="00924C20"/>
    <w:pPr>
      <w:pBdr>
        <w:top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52">
    <w:name w:val="xl152"/>
    <w:basedOn w:val="Normaallaad"/>
    <w:rsid w:val="00924C20"/>
    <w:pPr>
      <w:pBdr>
        <w:top w:val="single" w:sz="4" w:space="0" w:color="auto"/>
        <w:bottom w:val="single" w:sz="4" w:space="0" w:color="auto"/>
      </w:pBdr>
      <w:spacing w:before="100" w:beforeAutospacing="1" w:after="100" w:afterAutospacing="1"/>
    </w:pPr>
    <w:rPr>
      <w:rFonts w:eastAsia="Arial Unicode MS"/>
      <w:sz w:val="18"/>
      <w:szCs w:val="18"/>
    </w:rPr>
  </w:style>
  <w:style w:type="paragraph" w:customStyle="1" w:styleId="xl153">
    <w:name w:val="xl153"/>
    <w:basedOn w:val="Normaallaad"/>
    <w:rsid w:val="00924C20"/>
    <w:pPr>
      <w:pBdr>
        <w:top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customStyle="1" w:styleId="xl154">
    <w:name w:val="xl154"/>
    <w:basedOn w:val="Normaallaad"/>
    <w:rsid w:val="00924C2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b/>
      <w:bCs/>
      <w:sz w:val="28"/>
      <w:szCs w:val="28"/>
    </w:rPr>
  </w:style>
  <w:style w:type="paragraph" w:customStyle="1" w:styleId="xl155">
    <w:name w:val="xl155"/>
    <w:basedOn w:val="Normaallaad"/>
    <w:rsid w:val="00924C20"/>
    <w:pPr>
      <w:pBdr>
        <w:top w:val="single" w:sz="4" w:space="0" w:color="auto"/>
        <w:bottom w:val="single" w:sz="4" w:space="0" w:color="auto"/>
      </w:pBdr>
      <w:spacing w:before="100" w:beforeAutospacing="1" w:after="100" w:afterAutospacing="1"/>
      <w:jc w:val="center"/>
    </w:pPr>
    <w:rPr>
      <w:rFonts w:eastAsia="Arial Unicode MS"/>
      <w:sz w:val="28"/>
      <w:szCs w:val="28"/>
    </w:rPr>
  </w:style>
  <w:style w:type="paragraph" w:customStyle="1" w:styleId="xl24">
    <w:name w:val="xl24"/>
    <w:basedOn w:val="Normaallaad"/>
    <w:rsid w:val="00924C2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both"/>
    </w:pPr>
    <w:rPr>
      <w:rFonts w:eastAsia="Arial Unicode MS"/>
    </w:rPr>
  </w:style>
  <w:style w:type="paragraph" w:customStyle="1" w:styleId="xl25">
    <w:name w:val="xl25"/>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rPr>
  </w:style>
  <w:style w:type="paragraph" w:customStyle="1" w:styleId="xl26">
    <w:name w:val="xl26"/>
    <w:basedOn w:val="Normaallaad"/>
    <w:rsid w:val="00924C2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styleId="Pealkiri">
    <w:name w:val="Title"/>
    <w:basedOn w:val="Normaallaad"/>
    <w:link w:val="PealkiriMrk"/>
    <w:qFormat/>
    <w:rsid w:val="00924C20"/>
    <w:pPr>
      <w:jc w:val="center"/>
    </w:pPr>
    <w:rPr>
      <w:b/>
      <w:bCs/>
    </w:rPr>
  </w:style>
  <w:style w:type="character" w:customStyle="1" w:styleId="PealkiriMrk">
    <w:name w:val="Pealkiri Märk"/>
    <w:basedOn w:val="Liguvaikefont"/>
    <w:link w:val="Pealkiri"/>
    <w:rsid w:val="00924C20"/>
    <w:rPr>
      <w:rFonts w:ascii="Times New Roman" w:eastAsia="Times New Roman" w:hAnsi="Times New Roman" w:cs="Times New Roman"/>
      <w:b/>
      <w:bCs/>
      <w:sz w:val="24"/>
      <w:szCs w:val="24"/>
      <w:lang w:val="en-GB"/>
    </w:rPr>
  </w:style>
  <w:style w:type="paragraph" w:styleId="Pealdis">
    <w:name w:val="caption"/>
    <w:basedOn w:val="Normaallaad"/>
    <w:next w:val="Normaallaad"/>
    <w:qFormat/>
    <w:rsid w:val="00924C20"/>
    <w:pPr>
      <w:spacing w:before="120" w:after="120"/>
    </w:pPr>
    <w:rPr>
      <w:b/>
      <w:bCs/>
      <w:sz w:val="20"/>
      <w:szCs w:val="20"/>
    </w:rPr>
  </w:style>
  <w:style w:type="character" w:customStyle="1" w:styleId="LpumrkusetekstMrk">
    <w:name w:val="Lõpumärkuse tekst Märk"/>
    <w:basedOn w:val="Liguvaikefont"/>
    <w:link w:val="Lpumrkusetekst"/>
    <w:semiHidden/>
    <w:rsid w:val="00924C20"/>
    <w:rPr>
      <w:rFonts w:ascii="Times New Roman" w:eastAsia="Times New Roman" w:hAnsi="Times New Roman" w:cs="Times New Roman"/>
      <w:sz w:val="20"/>
      <w:szCs w:val="20"/>
      <w:lang w:val="en-GB"/>
    </w:rPr>
  </w:style>
  <w:style w:type="paragraph" w:styleId="Lpumrkusetekst">
    <w:name w:val="endnote text"/>
    <w:basedOn w:val="Normaallaad"/>
    <w:link w:val="LpumrkusetekstMrk"/>
    <w:semiHidden/>
    <w:rsid w:val="00924C20"/>
    <w:rPr>
      <w:sz w:val="20"/>
      <w:szCs w:val="20"/>
    </w:rPr>
  </w:style>
  <w:style w:type="character" w:customStyle="1" w:styleId="KommentaaritekstMrk">
    <w:name w:val="Kommentaari tekst Märk"/>
    <w:basedOn w:val="Liguvaikefont"/>
    <w:link w:val="Kommentaaritekst"/>
    <w:uiPriority w:val="99"/>
    <w:semiHidden/>
    <w:rsid w:val="00924C20"/>
    <w:rPr>
      <w:rFonts w:ascii="Times New Roman" w:eastAsia="Times New Roman" w:hAnsi="Times New Roman" w:cs="Times New Roman"/>
      <w:sz w:val="20"/>
      <w:szCs w:val="20"/>
      <w:lang w:val="en-GB"/>
    </w:rPr>
  </w:style>
  <w:style w:type="paragraph" w:styleId="Kommentaaritekst">
    <w:name w:val="annotation text"/>
    <w:basedOn w:val="Normaallaad"/>
    <w:link w:val="KommentaaritekstMrk"/>
    <w:uiPriority w:val="99"/>
    <w:semiHidden/>
    <w:rsid w:val="00924C20"/>
    <w:rPr>
      <w:sz w:val="20"/>
      <w:szCs w:val="20"/>
    </w:rPr>
  </w:style>
  <w:style w:type="paragraph" w:styleId="Plokktekst">
    <w:name w:val="Block Text"/>
    <w:basedOn w:val="Normaallaad"/>
    <w:rsid w:val="00924C20"/>
    <w:pPr>
      <w:tabs>
        <w:tab w:val="left" w:pos="720"/>
      </w:tabs>
      <w:autoSpaceDE w:val="0"/>
      <w:autoSpaceDN w:val="0"/>
      <w:adjustRightInd w:val="0"/>
      <w:ind w:left="277" w:right="18"/>
    </w:pPr>
    <w:rPr>
      <w:sz w:val="20"/>
      <w:szCs w:val="20"/>
      <w:lang w:val="et-EE"/>
    </w:rPr>
  </w:style>
  <w:style w:type="paragraph" w:customStyle="1" w:styleId="StiilNormCharCharCharChar">
    <w:name w:val="Stiil Norm Char Char Char Char"/>
    <w:rsid w:val="00924C20"/>
    <w:pPr>
      <w:suppressAutoHyphens/>
      <w:spacing w:after="0" w:line="264" w:lineRule="auto"/>
      <w:jc w:val="both"/>
    </w:pPr>
    <w:rPr>
      <w:rFonts w:ascii="Times New Roman" w:eastAsia="Times New Roman" w:hAnsi="Times New Roman" w:cs="Times New Roman"/>
      <w:sz w:val="24"/>
      <w:szCs w:val="20"/>
      <w:lang w:val="et-EE" w:eastAsia="ar-SA"/>
    </w:rPr>
  </w:style>
  <w:style w:type="paragraph" w:customStyle="1" w:styleId="arengukava">
    <w:name w:val="arengukava"/>
    <w:basedOn w:val="Normaallaad"/>
    <w:rsid w:val="00924C20"/>
    <w:pPr>
      <w:spacing w:before="100" w:beforeAutospacing="1" w:after="100" w:afterAutospacing="1"/>
    </w:pPr>
    <w:rPr>
      <w:rFonts w:ascii="Arial Unicode MS" w:eastAsia="Arial Unicode MS" w:hAnsi="Arial Unicode MS" w:cs="Arial Unicode MS"/>
      <w:lang w:val="et-EE" w:eastAsia="et-EE"/>
    </w:rPr>
  </w:style>
  <w:style w:type="character" w:customStyle="1" w:styleId="Heading3Char">
    <w:name w:val="Heading 3 Char"/>
    <w:rsid w:val="00924C20"/>
    <w:rPr>
      <w:b/>
      <w:bCs/>
      <w:sz w:val="24"/>
      <w:szCs w:val="24"/>
      <w:lang w:val="et-EE" w:eastAsia="en-US" w:bidi="ar-SA"/>
    </w:rPr>
  </w:style>
  <w:style w:type="paragraph" w:customStyle="1" w:styleId="Default">
    <w:name w:val="Default"/>
    <w:rsid w:val="00924C2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Body">
    <w:name w:val="Body"/>
    <w:aliases w:val="by"/>
    <w:basedOn w:val="Normaallaad"/>
    <w:rsid w:val="00924C20"/>
    <w:pPr>
      <w:tabs>
        <w:tab w:val="left" w:pos="0"/>
      </w:tabs>
      <w:spacing w:after="130"/>
      <w:jc w:val="both"/>
    </w:pPr>
    <w:rPr>
      <w:sz w:val="22"/>
      <w:szCs w:val="20"/>
      <w:lang w:val="et-EE" w:eastAsia="et-EE"/>
    </w:rPr>
  </w:style>
  <w:style w:type="paragraph" w:customStyle="1" w:styleId="p">
    <w:name w:val="p"/>
    <w:basedOn w:val="Normaallaad"/>
    <w:rsid w:val="00924C20"/>
    <w:pPr>
      <w:spacing w:before="120" w:after="120"/>
      <w:ind w:left="400" w:right="700"/>
      <w:jc w:val="both"/>
    </w:pPr>
    <w:rPr>
      <w:rFonts w:ascii="Arial" w:eastAsia="Arial Unicode MS" w:hAnsi="Arial" w:cs="Arial"/>
      <w:sz w:val="20"/>
      <w:szCs w:val="20"/>
    </w:rPr>
  </w:style>
  <w:style w:type="character" w:customStyle="1" w:styleId="CharChar11">
    <w:name w:val="Char Char11"/>
    <w:rsid w:val="00924C20"/>
    <w:rPr>
      <w:b/>
      <w:bCs/>
      <w:color w:val="000000"/>
      <w:sz w:val="24"/>
      <w:szCs w:val="22"/>
      <w:lang w:eastAsia="en-US"/>
    </w:rPr>
  </w:style>
  <w:style w:type="character" w:customStyle="1" w:styleId="CharChar10">
    <w:name w:val="Char Char10"/>
    <w:rsid w:val="00924C20"/>
    <w:rPr>
      <w:b/>
      <w:bCs/>
      <w:sz w:val="24"/>
      <w:szCs w:val="24"/>
      <w:lang w:eastAsia="en-US"/>
    </w:rPr>
  </w:style>
  <w:style w:type="character" w:customStyle="1" w:styleId="CharChar9">
    <w:name w:val="Char Char9"/>
    <w:rsid w:val="00924C20"/>
    <w:rPr>
      <w:b/>
      <w:bCs/>
      <w:sz w:val="28"/>
      <w:szCs w:val="24"/>
      <w:lang w:eastAsia="en-US"/>
    </w:rPr>
  </w:style>
  <w:style w:type="character" w:customStyle="1" w:styleId="CharChar6">
    <w:name w:val="Char Char6"/>
    <w:rsid w:val="00924C20"/>
    <w:rPr>
      <w:b/>
      <w:bCs/>
      <w:szCs w:val="24"/>
      <w:lang w:eastAsia="en-US"/>
    </w:rPr>
  </w:style>
  <w:style w:type="character" w:customStyle="1" w:styleId="CharChar12">
    <w:name w:val="Char Char12"/>
    <w:rsid w:val="00924C20"/>
    <w:rPr>
      <w:b/>
      <w:bCs/>
      <w:color w:val="000000"/>
      <w:sz w:val="24"/>
      <w:szCs w:val="28"/>
      <w:lang w:eastAsia="en-US"/>
    </w:rPr>
  </w:style>
  <w:style w:type="character" w:customStyle="1" w:styleId="CharChar8">
    <w:name w:val="Char Char8"/>
    <w:rsid w:val="00924C20"/>
    <w:rPr>
      <w:b/>
      <w:bCs/>
      <w:sz w:val="24"/>
      <w:szCs w:val="28"/>
      <w:lang w:eastAsia="en-US"/>
    </w:rPr>
  </w:style>
  <w:style w:type="character" w:customStyle="1" w:styleId="CharChar7">
    <w:name w:val="Char Char7"/>
    <w:rsid w:val="00924C20"/>
    <w:rPr>
      <w:rFonts w:ascii="Arial" w:hAnsi="Arial" w:cs="Arial"/>
      <w:b/>
      <w:bCs/>
      <w:sz w:val="24"/>
      <w:szCs w:val="24"/>
      <w:lang w:eastAsia="en-US"/>
    </w:rPr>
  </w:style>
  <w:style w:type="character" w:customStyle="1" w:styleId="KommentaariteemaMrk">
    <w:name w:val="Kommentaari teema Märk"/>
    <w:basedOn w:val="KommentaaritekstMrk"/>
    <w:link w:val="Kommentaariteema"/>
    <w:uiPriority w:val="99"/>
    <w:semiHidden/>
    <w:rsid w:val="00924C20"/>
    <w:rPr>
      <w:rFonts w:ascii="Times New Roman" w:eastAsia="Times New Roman" w:hAnsi="Times New Roman" w:cs="Times New Roman"/>
      <w:b/>
      <w:bCs/>
      <w:sz w:val="20"/>
      <w:szCs w:val="20"/>
      <w:lang w:val="en-GB"/>
    </w:rPr>
  </w:style>
  <w:style w:type="paragraph" w:styleId="Kommentaariteema">
    <w:name w:val="annotation subject"/>
    <w:basedOn w:val="Kommentaaritekst"/>
    <w:next w:val="Kommentaaritekst"/>
    <w:link w:val="KommentaariteemaMrk"/>
    <w:uiPriority w:val="99"/>
    <w:semiHidden/>
    <w:rsid w:val="00924C20"/>
    <w:rPr>
      <w:b/>
      <w:bCs/>
    </w:rPr>
  </w:style>
  <w:style w:type="character" w:customStyle="1" w:styleId="DokumendiplaanMrk">
    <w:name w:val="Dokumendiplaan Märk"/>
    <w:basedOn w:val="Liguvaikefont"/>
    <w:link w:val="Dokumendiplaan"/>
    <w:semiHidden/>
    <w:rsid w:val="00924C20"/>
    <w:rPr>
      <w:rFonts w:ascii="Tahoma" w:eastAsia="Times New Roman" w:hAnsi="Tahoma" w:cs="Tahoma"/>
      <w:sz w:val="24"/>
      <w:szCs w:val="24"/>
      <w:shd w:val="clear" w:color="auto" w:fill="000080"/>
      <w:lang w:val="en-GB"/>
    </w:rPr>
  </w:style>
  <w:style w:type="paragraph" w:styleId="Dokumendiplaan">
    <w:name w:val="Document Map"/>
    <w:basedOn w:val="Normaallaad"/>
    <w:link w:val="DokumendiplaanMrk"/>
    <w:semiHidden/>
    <w:rsid w:val="00924C20"/>
    <w:pPr>
      <w:shd w:val="clear" w:color="auto" w:fill="000080"/>
    </w:pPr>
    <w:rPr>
      <w:rFonts w:ascii="Tahoma" w:hAnsi="Tahoma" w:cs="Tahoma"/>
    </w:rPr>
  </w:style>
  <w:style w:type="paragraph" w:customStyle="1" w:styleId="Tekst">
    <w:name w:val="Tekst"/>
    <w:basedOn w:val="Normaallaad"/>
    <w:rsid w:val="00924C20"/>
    <w:pPr>
      <w:spacing w:before="120"/>
      <w:jc w:val="both"/>
    </w:pPr>
    <w:rPr>
      <w:rFonts w:ascii="Trebuchet MS" w:hAnsi="Trebuchet MS" w:cs="Trebuchet MS"/>
      <w:lang w:val="et-EE"/>
    </w:rPr>
  </w:style>
  <w:style w:type="paragraph" w:styleId="Loendilik">
    <w:name w:val="List Paragraph"/>
    <w:basedOn w:val="Normaallaad"/>
    <w:uiPriority w:val="34"/>
    <w:qFormat/>
    <w:rsid w:val="00924C20"/>
    <w:pPr>
      <w:spacing w:after="200" w:line="276" w:lineRule="auto"/>
      <w:ind w:left="720"/>
      <w:contextualSpacing/>
    </w:pPr>
    <w:rPr>
      <w:rFonts w:eastAsia="Calibri"/>
      <w:szCs w:val="22"/>
      <w:lang w:val="et-EE"/>
    </w:rPr>
  </w:style>
  <w:style w:type="paragraph" w:customStyle="1" w:styleId="Standard">
    <w:name w:val="Standard"/>
    <w:rsid w:val="00924C20"/>
    <w:pPr>
      <w:widowControl w:val="0"/>
      <w:suppressAutoHyphens/>
      <w:autoSpaceDN w:val="0"/>
      <w:spacing w:after="0" w:line="240" w:lineRule="auto"/>
    </w:pPr>
    <w:rPr>
      <w:rFonts w:ascii="Times New Roman" w:eastAsia="Andale Sans UI" w:hAnsi="Times New Roman" w:cs="Tahoma"/>
      <w:kern w:val="3"/>
      <w:sz w:val="24"/>
      <w:szCs w:val="24"/>
      <w:lang w:bidi="en-US"/>
    </w:rPr>
  </w:style>
  <w:style w:type="paragraph" w:styleId="Vahedeta">
    <w:name w:val="No Spacing"/>
    <w:uiPriority w:val="1"/>
    <w:qFormat/>
    <w:rsid w:val="00924C20"/>
    <w:pPr>
      <w:spacing w:after="0" w:line="240" w:lineRule="auto"/>
    </w:pPr>
    <w:rPr>
      <w:rFonts w:ascii="Calibri" w:eastAsia="Calibri" w:hAnsi="Calibri" w:cs="Times New Roman"/>
      <w:lang w:val="et-EE"/>
    </w:rPr>
  </w:style>
  <w:style w:type="character" w:customStyle="1" w:styleId="HTML-eelvormindatudMrk">
    <w:name w:val="HTML-eelvormindatud Märk"/>
    <w:basedOn w:val="Liguvaikefont"/>
    <w:link w:val="HTML-eelvormindatud"/>
    <w:uiPriority w:val="99"/>
    <w:semiHidden/>
    <w:rsid w:val="00924C20"/>
    <w:rPr>
      <w:rFonts w:ascii="Courier New" w:eastAsia="Times New Roman" w:hAnsi="Courier New" w:cs="Courier New"/>
      <w:sz w:val="20"/>
      <w:szCs w:val="20"/>
    </w:rPr>
  </w:style>
  <w:style w:type="paragraph" w:styleId="HTML-eelvormindatud">
    <w:name w:val="HTML Preformatted"/>
    <w:basedOn w:val="Normaallaad"/>
    <w:link w:val="HTML-eelvormindatudMrk"/>
    <w:uiPriority w:val="99"/>
    <w:semiHidden/>
    <w:unhideWhenUsed/>
    <w:rsid w:val="00924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customStyle="1" w:styleId="NoSpacing1">
    <w:name w:val="No Spacing1"/>
    <w:rsid w:val="00924C20"/>
    <w:pPr>
      <w:suppressAutoHyphens/>
      <w:spacing w:after="0" w:line="240" w:lineRule="auto"/>
    </w:pPr>
    <w:rPr>
      <w:rFonts w:ascii="Calibri" w:eastAsia="Calibri" w:hAnsi="Calibri" w:cs="Times New Roman"/>
      <w:kern w:val="1"/>
      <w:lang w:val="et-EE" w:eastAsia="hi-IN"/>
    </w:rPr>
  </w:style>
  <w:style w:type="paragraph" w:customStyle="1" w:styleId="ListParagraph1">
    <w:name w:val="List Paragraph1"/>
    <w:basedOn w:val="Normaallaad"/>
    <w:rsid w:val="00924C20"/>
    <w:pPr>
      <w:suppressAutoHyphens/>
      <w:ind w:left="720"/>
    </w:pPr>
    <w:rPr>
      <w:rFonts w:eastAsia="Lucida Sans Unicode"/>
      <w:kern w:val="1"/>
      <w:lang w:val="et-EE" w:eastAsia="hi-IN"/>
    </w:rPr>
  </w:style>
  <w:style w:type="character" w:customStyle="1" w:styleId="apple-converted-space">
    <w:name w:val="apple-converted-space"/>
    <w:basedOn w:val="Liguvaikefont"/>
    <w:rsid w:val="00924C20"/>
  </w:style>
  <w:style w:type="paragraph" w:styleId="Illustratsiooniloend">
    <w:name w:val="table of figures"/>
    <w:basedOn w:val="Normaallaad"/>
    <w:next w:val="Normaallaad"/>
    <w:uiPriority w:val="99"/>
    <w:rsid w:val="00924C20"/>
    <w:pPr>
      <w:ind w:left="480" w:hanging="480"/>
    </w:pPr>
  </w:style>
  <w:style w:type="character" w:customStyle="1" w:styleId="mm">
    <w:name w:val="mm"/>
    <w:basedOn w:val="Liguvaikefont"/>
    <w:rsid w:val="00924C20"/>
  </w:style>
  <w:style w:type="character" w:styleId="Kommentaariviide">
    <w:name w:val="annotation reference"/>
    <w:basedOn w:val="Liguvaikefont"/>
    <w:uiPriority w:val="99"/>
    <w:semiHidden/>
    <w:unhideWhenUsed/>
    <w:rsid w:val="00DB61BC"/>
    <w:rPr>
      <w:sz w:val="16"/>
      <w:szCs w:val="16"/>
    </w:rPr>
  </w:style>
  <w:style w:type="character" w:styleId="Allmrkuseviide">
    <w:name w:val="footnote reference"/>
    <w:semiHidden/>
    <w:rsid w:val="00736C6D"/>
    <w:rPr>
      <w:vertAlign w:val="superscript"/>
    </w:rPr>
  </w:style>
  <w:style w:type="paragraph" w:styleId="Sisukorrapealkiri">
    <w:name w:val="TOC Heading"/>
    <w:basedOn w:val="Pealkiri1"/>
    <w:next w:val="Normaallaad"/>
    <w:uiPriority w:val="39"/>
    <w:semiHidden/>
    <w:unhideWhenUsed/>
    <w:qFormat/>
    <w:rsid w:val="00F420E6"/>
    <w:pPr>
      <w:keepLines/>
      <w:autoSpaceDE/>
      <w:autoSpaceDN/>
      <w:adjustRightInd/>
      <w:spacing w:before="480" w:line="276" w:lineRule="auto"/>
      <w:jc w:val="left"/>
      <w:outlineLvl w:val="9"/>
    </w:pPr>
    <w:rPr>
      <w:rFonts w:asciiTheme="majorHAnsi" w:eastAsiaTheme="majorEastAsia" w:hAnsiTheme="majorHAnsi" w:cstheme="majorBidi"/>
      <w:color w:val="365F91" w:themeColor="accent1" w:themeShade="B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129191">
      <w:bodyDiv w:val="1"/>
      <w:marLeft w:val="0"/>
      <w:marRight w:val="0"/>
      <w:marTop w:val="0"/>
      <w:marBottom w:val="0"/>
      <w:divBdr>
        <w:top w:val="none" w:sz="0" w:space="0" w:color="auto"/>
        <w:left w:val="none" w:sz="0" w:space="0" w:color="auto"/>
        <w:bottom w:val="none" w:sz="0" w:space="0" w:color="auto"/>
        <w:right w:val="none" w:sz="0" w:space="0" w:color="auto"/>
      </w:divBdr>
    </w:div>
    <w:div w:id="165442898">
      <w:bodyDiv w:val="1"/>
      <w:marLeft w:val="0"/>
      <w:marRight w:val="0"/>
      <w:marTop w:val="0"/>
      <w:marBottom w:val="0"/>
      <w:divBdr>
        <w:top w:val="none" w:sz="0" w:space="0" w:color="auto"/>
        <w:left w:val="none" w:sz="0" w:space="0" w:color="auto"/>
        <w:bottom w:val="none" w:sz="0" w:space="0" w:color="auto"/>
        <w:right w:val="none" w:sz="0" w:space="0" w:color="auto"/>
      </w:divBdr>
    </w:div>
    <w:div w:id="192808088">
      <w:bodyDiv w:val="1"/>
      <w:marLeft w:val="0"/>
      <w:marRight w:val="0"/>
      <w:marTop w:val="0"/>
      <w:marBottom w:val="0"/>
      <w:divBdr>
        <w:top w:val="none" w:sz="0" w:space="0" w:color="auto"/>
        <w:left w:val="none" w:sz="0" w:space="0" w:color="auto"/>
        <w:bottom w:val="none" w:sz="0" w:space="0" w:color="auto"/>
        <w:right w:val="none" w:sz="0" w:space="0" w:color="auto"/>
      </w:divBdr>
    </w:div>
    <w:div w:id="321157795">
      <w:bodyDiv w:val="1"/>
      <w:marLeft w:val="0"/>
      <w:marRight w:val="0"/>
      <w:marTop w:val="0"/>
      <w:marBottom w:val="0"/>
      <w:divBdr>
        <w:top w:val="none" w:sz="0" w:space="0" w:color="auto"/>
        <w:left w:val="none" w:sz="0" w:space="0" w:color="auto"/>
        <w:bottom w:val="none" w:sz="0" w:space="0" w:color="auto"/>
        <w:right w:val="none" w:sz="0" w:space="0" w:color="auto"/>
      </w:divBdr>
    </w:div>
    <w:div w:id="873925486">
      <w:bodyDiv w:val="1"/>
      <w:marLeft w:val="0"/>
      <w:marRight w:val="0"/>
      <w:marTop w:val="0"/>
      <w:marBottom w:val="0"/>
      <w:divBdr>
        <w:top w:val="none" w:sz="0" w:space="0" w:color="auto"/>
        <w:left w:val="none" w:sz="0" w:space="0" w:color="auto"/>
        <w:bottom w:val="none" w:sz="0" w:space="0" w:color="auto"/>
        <w:right w:val="none" w:sz="0" w:space="0" w:color="auto"/>
      </w:divBdr>
    </w:div>
    <w:div w:id="914247458">
      <w:bodyDiv w:val="1"/>
      <w:marLeft w:val="0"/>
      <w:marRight w:val="0"/>
      <w:marTop w:val="0"/>
      <w:marBottom w:val="0"/>
      <w:divBdr>
        <w:top w:val="none" w:sz="0" w:space="0" w:color="auto"/>
        <w:left w:val="none" w:sz="0" w:space="0" w:color="auto"/>
        <w:bottom w:val="none" w:sz="0" w:space="0" w:color="auto"/>
        <w:right w:val="none" w:sz="0" w:space="0" w:color="auto"/>
      </w:divBdr>
    </w:div>
    <w:div w:id="1137063769">
      <w:bodyDiv w:val="1"/>
      <w:marLeft w:val="0"/>
      <w:marRight w:val="0"/>
      <w:marTop w:val="0"/>
      <w:marBottom w:val="0"/>
      <w:divBdr>
        <w:top w:val="none" w:sz="0" w:space="0" w:color="auto"/>
        <w:left w:val="none" w:sz="0" w:space="0" w:color="auto"/>
        <w:bottom w:val="none" w:sz="0" w:space="0" w:color="auto"/>
        <w:right w:val="none" w:sz="0" w:space="0" w:color="auto"/>
      </w:divBdr>
    </w:div>
    <w:div w:id="1182206209">
      <w:bodyDiv w:val="1"/>
      <w:marLeft w:val="0"/>
      <w:marRight w:val="0"/>
      <w:marTop w:val="0"/>
      <w:marBottom w:val="0"/>
      <w:divBdr>
        <w:top w:val="none" w:sz="0" w:space="0" w:color="auto"/>
        <w:left w:val="none" w:sz="0" w:space="0" w:color="auto"/>
        <w:bottom w:val="none" w:sz="0" w:space="0" w:color="auto"/>
        <w:right w:val="none" w:sz="0" w:space="0" w:color="auto"/>
      </w:divBdr>
    </w:div>
    <w:div w:id="1251354883">
      <w:bodyDiv w:val="1"/>
      <w:marLeft w:val="0"/>
      <w:marRight w:val="0"/>
      <w:marTop w:val="0"/>
      <w:marBottom w:val="0"/>
      <w:divBdr>
        <w:top w:val="none" w:sz="0" w:space="0" w:color="auto"/>
        <w:left w:val="none" w:sz="0" w:space="0" w:color="auto"/>
        <w:bottom w:val="none" w:sz="0" w:space="0" w:color="auto"/>
        <w:right w:val="none" w:sz="0" w:space="0" w:color="auto"/>
      </w:divBdr>
    </w:div>
    <w:div w:id="1266496910">
      <w:bodyDiv w:val="1"/>
      <w:marLeft w:val="0"/>
      <w:marRight w:val="0"/>
      <w:marTop w:val="0"/>
      <w:marBottom w:val="0"/>
      <w:divBdr>
        <w:top w:val="none" w:sz="0" w:space="0" w:color="auto"/>
        <w:left w:val="none" w:sz="0" w:space="0" w:color="auto"/>
        <w:bottom w:val="none" w:sz="0" w:space="0" w:color="auto"/>
        <w:right w:val="none" w:sz="0" w:space="0" w:color="auto"/>
      </w:divBdr>
    </w:div>
    <w:div w:id="1276716967">
      <w:bodyDiv w:val="1"/>
      <w:marLeft w:val="0"/>
      <w:marRight w:val="0"/>
      <w:marTop w:val="0"/>
      <w:marBottom w:val="0"/>
      <w:divBdr>
        <w:top w:val="none" w:sz="0" w:space="0" w:color="auto"/>
        <w:left w:val="none" w:sz="0" w:space="0" w:color="auto"/>
        <w:bottom w:val="none" w:sz="0" w:space="0" w:color="auto"/>
        <w:right w:val="none" w:sz="0" w:space="0" w:color="auto"/>
      </w:divBdr>
    </w:div>
    <w:div w:id="1448619096">
      <w:bodyDiv w:val="1"/>
      <w:marLeft w:val="0"/>
      <w:marRight w:val="0"/>
      <w:marTop w:val="0"/>
      <w:marBottom w:val="0"/>
      <w:divBdr>
        <w:top w:val="none" w:sz="0" w:space="0" w:color="auto"/>
        <w:left w:val="none" w:sz="0" w:space="0" w:color="auto"/>
        <w:bottom w:val="none" w:sz="0" w:space="0" w:color="auto"/>
        <w:right w:val="none" w:sz="0" w:space="0" w:color="auto"/>
      </w:divBdr>
    </w:div>
    <w:div w:id="1520467629">
      <w:bodyDiv w:val="1"/>
      <w:marLeft w:val="0"/>
      <w:marRight w:val="0"/>
      <w:marTop w:val="0"/>
      <w:marBottom w:val="0"/>
      <w:divBdr>
        <w:top w:val="none" w:sz="0" w:space="0" w:color="auto"/>
        <w:left w:val="none" w:sz="0" w:space="0" w:color="auto"/>
        <w:bottom w:val="none" w:sz="0" w:space="0" w:color="auto"/>
        <w:right w:val="none" w:sz="0" w:space="0" w:color="auto"/>
      </w:divBdr>
    </w:div>
    <w:div w:id="1766270910">
      <w:bodyDiv w:val="1"/>
      <w:marLeft w:val="0"/>
      <w:marRight w:val="0"/>
      <w:marTop w:val="0"/>
      <w:marBottom w:val="0"/>
      <w:divBdr>
        <w:top w:val="none" w:sz="0" w:space="0" w:color="auto"/>
        <w:left w:val="none" w:sz="0" w:space="0" w:color="auto"/>
        <w:bottom w:val="none" w:sz="0" w:space="0" w:color="auto"/>
        <w:right w:val="none" w:sz="0" w:space="0" w:color="auto"/>
      </w:divBdr>
    </w:div>
    <w:div w:id="1770083059">
      <w:bodyDiv w:val="1"/>
      <w:marLeft w:val="0"/>
      <w:marRight w:val="0"/>
      <w:marTop w:val="0"/>
      <w:marBottom w:val="0"/>
      <w:divBdr>
        <w:top w:val="none" w:sz="0" w:space="0" w:color="auto"/>
        <w:left w:val="none" w:sz="0" w:space="0" w:color="auto"/>
        <w:bottom w:val="none" w:sz="0" w:space="0" w:color="auto"/>
        <w:right w:val="none" w:sz="0" w:space="0" w:color="auto"/>
      </w:divBdr>
    </w:div>
    <w:div w:id="1794981064">
      <w:bodyDiv w:val="1"/>
      <w:marLeft w:val="0"/>
      <w:marRight w:val="0"/>
      <w:marTop w:val="0"/>
      <w:marBottom w:val="0"/>
      <w:divBdr>
        <w:top w:val="none" w:sz="0" w:space="0" w:color="auto"/>
        <w:left w:val="none" w:sz="0" w:space="0" w:color="auto"/>
        <w:bottom w:val="none" w:sz="0" w:space="0" w:color="auto"/>
        <w:right w:val="none" w:sz="0" w:space="0" w:color="auto"/>
      </w:divBdr>
    </w:div>
    <w:div w:id="1841845184">
      <w:bodyDiv w:val="1"/>
      <w:marLeft w:val="0"/>
      <w:marRight w:val="0"/>
      <w:marTop w:val="0"/>
      <w:marBottom w:val="0"/>
      <w:divBdr>
        <w:top w:val="none" w:sz="0" w:space="0" w:color="auto"/>
        <w:left w:val="none" w:sz="0" w:space="0" w:color="auto"/>
        <w:bottom w:val="none" w:sz="0" w:space="0" w:color="auto"/>
        <w:right w:val="none" w:sz="0" w:space="0" w:color="auto"/>
      </w:divBdr>
    </w:div>
    <w:div w:id="1942101911">
      <w:bodyDiv w:val="1"/>
      <w:marLeft w:val="0"/>
      <w:marRight w:val="0"/>
      <w:marTop w:val="0"/>
      <w:marBottom w:val="0"/>
      <w:divBdr>
        <w:top w:val="none" w:sz="0" w:space="0" w:color="auto"/>
        <w:left w:val="none" w:sz="0" w:space="0" w:color="auto"/>
        <w:bottom w:val="none" w:sz="0" w:space="0" w:color="auto"/>
        <w:right w:val="none" w:sz="0" w:space="0" w:color="auto"/>
      </w:divBdr>
    </w:div>
    <w:div w:id="2038698749">
      <w:bodyDiv w:val="1"/>
      <w:marLeft w:val="0"/>
      <w:marRight w:val="0"/>
      <w:marTop w:val="0"/>
      <w:marBottom w:val="0"/>
      <w:divBdr>
        <w:top w:val="none" w:sz="0" w:space="0" w:color="auto"/>
        <w:left w:val="none" w:sz="0" w:space="0" w:color="auto"/>
        <w:bottom w:val="none" w:sz="0" w:space="0" w:color="auto"/>
        <w:right w:val="none" w:sz="0" w:space="0" w:color="auto"/>
      </w:divBdr>
    </w:div>
    <w:div w:id="209789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i_t__leh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i_t__leh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i_t__leh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i_t__leht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i_t__leht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i_t__leht5.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en-US" sz="1200" b="1"/>
              <a:t>Maksumaksjate ja keskmise br</a:t>
            </a:r>
            <a:r>
              <a:rPr lang="et-EE" sz="1200" b="1"/>
              <a:t>uto</a:t>
            </a:r>
            <a:r>
              <a:rPr lang="en-US" sz="1200" b="1"/>
              <a:t>tulu liikumine 2013 kuni 2023 (prognoos)</a:t>
            </a:r>
          </a:p>
        </c:rich>
      </c:tx>
      <c:overlay val="0"/>
      <c:spPr>
        <a:noFill/>
        <a:ln>
          <a:noFill/>
        </a:ln>
        <a:effectLst/>
      </c:spPr>
    </c:title>
    <c:autoTitleDeleted val="0"/>
    <c:plotArea>
      <c:layout/>
      <c:lineChart>
        <c:grouping val="standard"/>
        <c:varyColors val="0"/>
        <c:ser>
          <c:idx val="0"/>
          <c:order val="0"/>
          <c:tx>
            <c:strRef>
              <c:f>Leht1!$B$2</c:f>
              <c:strCache>
                <c:ptCount val="1"/>
                <c:pt idx="0">
                  <c:v>mm-d</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mn-lt"/>
                    <a:ea typeface="+mn-ea"/>
                    <a:cs typeface="+mn-cs"/>
                  </a:defRPr>
                </a:pPr>
                <a:endParaRPr lang="et-EE"/>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Leht1!$A$3:$A$13</c:f>
              <c:strCache>
                <c:ptCount val="11"/>
                <c:pt idx="0">
                  <c:v>2013.</c:v>
                </c:pt>
                <c:pt idx="1">
                  <c:v>2014.</c:v>
                </c:pt>
                <c:pt idx="2">
                  <c:v>2015.</c:v>
                </c:pt>
                <c:pt idx="3">
                  <c:v>2016.</c:v>
                </c:pt>
                <c:pt idx="4">
                  <c:v>2017.</c:v>
                </c:pt>
                <c:pt idx="5">
                  <c:v>2018.</c:v>
                </c:pt>
                <c:pt idx="6">
                  <c:v>2019.</c:v>
                </c:pt>
                <c:pt idx="7">
                  <c:v>2020.</c:v>
                </c:pt>
                <c:pt idx="8">
                  <c:v>2021.</c:v>
                </c:pt>
                <c:pt idx="9">
                  <c:v>2022.</c:v>
                </c:pt>
                <c:pt idx="10">
                  <c:v>2023.</c:v>
                </c:pt>
              </c:strCache>
            </c:strRef>
          </c:cat>
          <c:val>
            <c:numRef>
              <c:f>Leht1!$B$3:$B$13</c:f>
              <c:numCache>
                <c:formatCode>General</c:formatCode>
                <c:ptCount val="11"/>
                <c:pt idx="0">
                  <c:v>2624</c:v>
                </c:pt>
                <c:pt idx="1">
                  <c:v>2629</c:v>
                </c:pt>
                <c:pt idx="2">
                  <c:v>2615</c:v>
                </c:pt>
                <c:pt idx="3">
                  <c:v>2565</c:v>
                </c:pt>
                <c:pt idx="4">
                  <c:v>2572</c:v>
                </c:pt>
                <c:pt idx="5">
                  <c:v>2580</c:v>
                </c:pt>
                <c:pt idx="6">
                  <c:v>2595</c:v>
                </c:pt>
                <c:pt idx="7">
                  <c:v>2605</c:v>
                </c:pt>
                <c:pt idx="8">
                  <c:v>2616</c:v>
                </c:pt>
                <c:pt idx="9">
                  <c:v>2629</c:v>
                </c:pt>
                <c:pt idx="10">
                  <c:v>2645</c:v>
                </c:pt>
              </c:numCache>
            </c:numRef>
          </c:val>
          <c:smooth val="0"/>
          <c:extLst>
            <c:ext xmlns:c16="http://schemas.microsoft.com/office/drawing/2014/chart" uri="{C3380CC4-5D6E-409C-BE32-E72D297353CC}">
              <c16:uniqueId val="{00000000-2C11-49C8-9E76-58ADCEB86100}"/>
            </c:ext>
          </c:extLst>
        </c:ser>
        <c:ser>
          <c:idx val="1"/>
          <c:order val="1"/>
          <c:tx>
            <c:strRef>
              <c:f>Leht1!$C$2</c:f>
              <c:strCache>
                <c:ptCount val="1"/>
                <c:pt idx="0">
                  <c:v>keskmine 
br-sissetulek</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mn-lt"/>
                    <a:ea typeface="+mn-ea"/>
                    <a:cs typeface="+mn-cs"/>
                  </a:defRPr>
                </a:pPr>
                <a:endParaRPr lang="et-EE"/>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Leht1!$A$3:$A$13</c:f>
              <c:strCache>
                <c:ptCount val="11"/>
                <c:pt idx="0">
                  <c:v>2013.</c:v>
                </c:pt>
                <c:pt idx="1">
                  <c:v>2014.</c:v>
                </c:pt>
                <c:pt idx="2">
                  <c:v>2015.</c:v>
                </c:pt>
                <c:pt idx="3">
                  <c:v>2016.</c:v>
                </c:pt>
                <c:pt idx="4">
                  <c:v>2017.</c:v>
                </c:pt>
                <c:pt idx="5">
                  <c:v>2018.</c:v>
                </c:pt>
                <c:pt idx="6">
                  <c:v>2019.</c:v>
                </c:pt>
                <c:pt idx="7">
                  <c:v>2020.</c:v>
                </c:pt>
                <c:pt idx="8">
                  <c:v>2021.</c:v>
                </c:pt>
                <c:pt idx="9">
                  <c:v>2022.</c:v>
                </c:pt>
                <c:pt idx="10">
                  <c:v>2023.</c:v>
                </c:pt>
              </c:strCache>
            </c:strRef>
          </c:cat>
          <c:val>
            <c:numRef>
              <c:f>Leht1!$C$3:$C$13</c:f>
              <c:numCache>
                <c:formatCode>General</c:formatCode>
                <c:ptCount val="11"/>
                <c:pt idx="0">
                  <c:v>831</c:v>
                </c:pt>
                <c:pt idx="1">
                  <c:v>871</c:v>
                </c:pt>
                <c:pt idx="2">
                  <c:v>927</c:v>
                </c:pt>
                <c:pt idx="3">
                  <c:v>978</c:v>
                </c:pt>
                <c:pt idx="4">
                  <c:v>1039</c:v>
                </c:pt>
                <c:pt idx="5">
                  <c:v>1087</c:v>
                </c:pt>
                <c:pt idx="6">
                  <c:v>1119</c:v>
                </c:pt>
                <c:pt idx="7">
                  <c:v>1145</c:v>
                </c:pt>
                <c:pt idx="8">
                  <c:v>1176</c:v>
                </c:pt>
                <c:pt idx="9">
                  <c:v>1204</c:v>
                </c:pt>
                <c:pt idx="10">
                  <c:v>1232</c:v>
                </c:pt>
              </c:numCache>
            </c:numRef>
          </c:val>
          <c:smooth val="0"/>
          <c:extLst>
            <c:ext xmlns:c16="http://schemas.microsoft.com/office/drawing/2014/chart" uri="{C3380CC4-5D6E-409C-BE32-E72D297353CC}">
              <c16:uniqueId val="{00000001-2C11-49C8-9E76-58ADCEB86100}"/>
            </c:ext>
          </c:extLst>
        </c:ser>
        <c:dLbls>
          <c:showLegendKey val="0"/>
          <c:showVal val="1"/>
          <c:showCatName val="0"/>
          <c:showSerName val="0"/>
          <c:showPercent val="0"/>
          <c:showBubbleSize val="0"/>
        </c:dLbls>
        <c:marker val="1"/>
        <c:smooth val="0"/>
        <c:axId val="97787904"/>
        <c:axId val="97789440"/>
      </c:lineChart>
      <c:catAx>
        <c:axId val="97787904"/>
        <c:scaling>
          <c:orientation val="minMax"/>
        </c:scaling>
        <c:delete val="0"/>
        <c:axPos val="b"/>
        <c:numFmt formatCode="General" sourceLinked="1"/>
        <c:majorTickMark val="none"/>
        <c:minorTickMark val="none"/>
        <c:tickLblPos val="nextTo"/>
        <c:spPr>
          <a:noFill/>
          <a:ln w="25400" cap="flat" cmpd="sng" algn="ctr">
            <a:no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97789440"/>
        <c:crosses val="autoZero"/>
        <c:auto val="1"/>
        <c:lblAlgn val="ctr"/>
        <c:lblOffset val="100"/>
        <c:noMultiLvlLbl val="0"/>
      </c:catAx>
      <c:valAx>
        <c:axId val="97789440"/>
        <c:scaling>
          <c:orientation val="minMax"/>
        </c:scaling>
        <c:delete val="1"/>
        <c:axPos val="l"/>
        <c:numFmt formatCode="General" sourceLinked="1"/>
        <c:majorTickMark val="none"/>
        <c:minorTickMark val="none"/>
        <c:tickLblPos val="none"/>
        <c:crossAx val="97787904"/>
        <c:crosses val="autoZero"/>
        <c:crossBetween val="between"/>
      </c:valAx>
      <c:spPr>
        <a:solidFill>
          <a:schemeClr val="accent3">
            <a:lumMod val="20000"/>
            <a:lumOff val="80000"/>
          </a:schemeClr>
        </a:solidFill>
        <a:ln>
          <a:noFill/>
        </a:ln>
        <a:effectLst/>
      </c:spPr>
    </c:plotArea>
    <c:legend>
      <c:legendPos val="b"/>
      <c:layout>
        <c:manualLayout>
          <c:xMode val="edge"/>
          <c:yMode val="edge"/>
          <c:x val="0.35682074462914393"/>
          <c:y val="0.88847507036851892"/>
          <c:w val="0.36660542432195981"/>
          <c:h val="8.8393995011628007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FIT</a:t>
            </a:r>
            <a:r>
              <a:rPr lang="et-EE"/>
              <a:t> laekumine </a:t>
            </a:r>
            <a:r>
              <a:rPr lang="en-US"/>
              <a:t>ja prognoos</a:t>
            </a:r>
          </a:p>
        </c:rich>
      </c:tx>
      <c:overlay val="0"/>
      <c:spPr>
        <a:noFill/>
        <a:ln>
          <a:noFill/>
        </a:ln>
        <a:effectLst/>
      </c:sp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Leht1!$B$29</c:f>
              <c:strCache>
                <c:ptCount val="1"/>
                <c:pt idx="0">
                  <c:v>FIT</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Leht1!$A$30:$A$40</c:f>
              <c:strCache>
                <c:ptCount val="11"/>
                <c:pt idx="0">
                  <c:v>2013.</c:v>
                </c:pt>
                <c:pt idx="1">
                  <c:v>2014.</c:v>
                </c:pt>
                <c:pt idx="2">
                  <c:v>2015.</c:v>
                </c:pt>
                <c:pt idx="3">
                  <c:v>2016.</c:v>
                </c:pt>
                <c:pt idx="4">
                  <c:v>2017.</c:v>
                </c:pt>
                <c:pt idx="5">
                  <c:v>2018.</c:v>
                </c:pt>
                <c:pt idx="6">
                  <c:v>2019.</c:v>
                </c:pt>
                <c:pt idx="7">
                  <c:v>2020.</c:v>
                </c:pt>
                <c:pt idx="8">
                  <c:v>2021.</c:v>
                </c:pt>
                <c:pt idx="9">
                  <c:v>2022.</c:v>
                </c:pt>
                <c:pt idx="10">
                  <c:v>2023.</c:v>
                </c:pt>
              </c:strCache>
            </c:strRef>
          </c:cat>
          <c:val>
            <c:numRef>
              <c:f>Leht1!$B$30:$B$40</c:f>
              <c:numCache>
                <c:formatCode>#,##0</c:formatCode>
                <c:ptCount val="11"/>
                <c:pt idx="0">
                  <c:v>3046601</c:v>
                </c:pt>
                <c:pt idx="1">
                  <c:v>3172418</c:v>
                </c:pt>
                <c:pt idx="2">
                  <c:v>3385723</c:v>
                </c:pt>
                <c:pt idx="3">
                  <c:v>3502265</c:v>
                </c:pt>
                <c:pt idx="4">
                  <c:v>3613221</c:v>
                </c:pt>
                <c:pt idx="5">
                  <c:v>3775000.0767412507</c:v>
                </c:pt>
                <c:pt idx="6">
                  <c:v>4024341.5071140109</c:v>
                </c:pt>
                <c:pt idx="7">
                  <c:v>4142170.2397990692</c:v>
                </c:pt>
                <c:pt idx="8">
                  <c:v>4270611.3832472712</c:v>
                </c:pt>
                <c:pt idx="9">
                  <c:v>4392961.5766645577</c:v>
                </c:pt>
                <c:pt idx="10">
                  <c:v>4521354.5712606153</c:v>
                </c:pt>
              </c:numCache>
            </c:numRef>
          </c:val>
          <c:extLst>
            <c:ext xmlns:c16="http://schemas.microsoft.com/office/drawing/2014/chart" uri="{C3380CC4-5D6E-409C-BE32-E72D297353CC}">
              <c16:uniqueId val="{00000000-6BD4-4384-B248-C94A43C43C6E}"/>
            </c:ext>
          </c:extLst>
        </c:ser>
        <c:dLbls>
          <c:showLegendKey val="0"/>
          <c:showVal val="0"/>
          <c:showCatName val="0"/>
          <c:showSerName val="0"/>
          <c:showPercent val="0"/>
          <c:showBubbleSize val="0"/>
        </c:dLbls>
        <c:gapWidth val="65"/>
        <c:shape val="box"/>
        <c:axId val="97105408"/>
        <c:axId val="97106944"/>
        <c:axId val="0"/>
      </c:bar3DChart>
      <c:catAx>
        <c:axId val="9710540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t-EE"/>
          </a:p>
        </c:txPr>
        <c:crossAx val="97106944"/>
        <c:crosses val="autoZero"/>
        <c:auto val="1"/>
        <c:lblAlgn val="ctr"/>
        <c:lblOffset val="100"/>
        <c:noMultiLvlLbl val="0"/>
      </c:catAx>
      <c:valAx>
        <c:axId val="97106944"/>
        <c:scaling>
          <c:orientation val="minMax"/>
          <c:min val="0"/>
        </c:scaling>
        <c:delete val="0"/>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t-EE"/>
          </a:p>
        </c:txPr>
        <c:crossAx val="97105408"/>
        <c:crosses val="autoZero"/>
        <c:crossBetween val="between"/>
      </c:valAx>
      <c:dTable>
        <c:showHorzBorder val="1"/>
        <c:showVertBorder val="1"/>
        <c:showOutline val="1"/>
        <c:showKeys val="1"/>
        <c:spPr>
          <a:noFill/>
          <a:ln w="9525">
            <a:solidFill>
              <a:schemeClr val="dk1">
                <a:lumMod val="35000"/>
                <a:lumOff val="65000"/>
              </a:schemeClr>
            </a:solidFill>
          </a:ln>
          <a:effectLst/>
        </c:spPr>
        <c:txPr>
          <a:bodyPr rot="0" spcFirstLastPara="1" vertOverflow="ellipsis" vert="horz" wrap="square" anchor="ctr" anchorCtr="1"/>
          <a:lstStyle/>
          <a:p>
            <a:pPr rtl="0">
              <a:defRPr sz="900" b="0" i="0" u="none" strike="noStrike" kern="1200" baseline="0">
                <a:solidFill>
                  <a:schemeClr val="dk1">
                    <a:lumMod val="75000"/>
                    <a:lumOff val="25000"/>
                  </a:schemeClr>
                </a:solidFill>
                <a:latin typeface="+mn-lt"/>
                <a:ea typeface="+mn-ea"/>
                <a:cs typeface="+mn-cs"/>
              </a:defRPr>
            </a:pPr>
            <a:endParaRPr lang="et-EE"/>
          </a:p>
        </c:txPr>
      </c:dTable>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t-EE"/>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t-EE"/>
              <a:t>Põhitegevuse</a:t>
            </a:r>
            <a:r>
              <a:rPr lang="et-EE" baseline="0"/>
              <a:t> tulude struktuur</a:t>
            </a:r>
            <a:r>
              <a:rPr lang="en-US" baseline="0"/>
              <a:t>i prognoos</a:t>
            </a:r>
            <a:r>
              <a:rPr lang="et-EE" baseline="0"/>
              <a:t> 2019</a:t>
            </a:r>
            <a:r>
              <a:rPr lang="en-US" baseline="0"/>
              <a:t>.</a:t>
            </a:r>
            <a:r>
              <a:rPr lang="et-EE" baseline="0"/>
              <a:t> aastal</a:t>
            </a:r>
            <a:endParaRPr lang="en-US"/>
          </a:p>
        </c:rich>
      </c:tx>
      <c:layout>
        <c:manualLayout>
          <c:xMode val="edge"/>
          <c:yMode val="edge"/>
          <c:x val="0.23673270007915678"/>
          <c:y val="2.2386389075442131E-2"/>
        </c:manualLayout>
      </c:layout>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0-2A56-4C4D-8DF4-8AFADAB1F8A7}"/>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1-2A56-4C4D-8DF4-8AFADAB1F8A7}"/>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2-2A56-4C4D-8DF4-8AFADAB1F8A7}"/>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3-2A56-4C4D-8DF4-8AFADAB1F8A7}"/>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4-2A56-4C4D-8DF4-8AFADAB1F8A7}"/>
              </c:ext>
            </c:extLst>
          </c:dPt>
          <c:dLbls>
            <c:dLbl>
              <c:idx val="1"/>
              <c:layout>
                <c:manualLayout>
                  <c:x val="0.23041692568034278"/>
                  <c:y val="-2.7296033534940652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2A56-4C4D-8DF4-8AFADAB1F8A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virunigula!$B$119:$B$123</c:f>
              <c:strCache>
                <c:ptCount val="5"/>
                <c:pt idx="0">
                  <c:v>Füüsilise isiku
 tulumaks (FIT)</c:v>
                </c:pt>
                <c:pt idx="1">
                  <c:v>Maamaks</c:v>
                </c:pt>
                <c:pt idx="2">
                  <c:v>Kaupade, teenuste
müük</c:v>
                </c:pt>
                <c:pt idx="3">
                  <c:v>Saadavad toetused
tegevuskuludeks</c:v>
                </c:pt>
                <c:pt idx="4">
                  <c:v>Muud tegevustulud</c:v>
                </c:pt>
              </c:strCache>
            </c:strRef>
          </c:cat>
          <c:val>
            <c:numRef>
              <c:f>virunigula!$C$119:$C$123</c:f>
              <c:numCache>
                <c:formatCode>#,##0</c:formatCode>
                <c:ptCount val="5"/>
                <c:pt idx="0">
                  <c:v>4024342</c:v>
                </c:pt>
                <c:pt idx="1">
                  <c:v>185000</c:v>
                </c:pt>
                <c:pt idx="2">
                  <c:v>880000</c:v>
                </c:pt>
                <c:pt idx="3">
                  <c:v>3310000</c:v>
                </c:pt>
                <c:pt idx="4">
                  <c:v>80000</c:v>
                </c:pt>
              </c:numCache>
            </c:numRef>
          </c:val>
          <c:extLst>
            <c:ext xmlns:c16="http://schemas.microsoft.com/office/drawing/2014/chart" uri="{C3380CC4-5D6E-409C-BE32-E72D297353CC}">
              <c16:uniqueId val="{00000005-2A56-4C4D-8DF4-8AFADAB1F8A7}"/>
            </c:ext>
          </c:extLst>
        </c:ser>
        <c:dLbls>
          <c:showLegendKey val="0"/>
          <c:showVal val="0"/>
          <c:showCatName val="1"/>
          <c:showSerName val="0"/>
          <c:showPercent val="1"/>
          <c:showBubbleSize val="0"/>
          <c:showLeaderLines val="1"/>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b="1"/>
              <a:t>Põhitegevuse kulude struktuuri prognoos 2019. aasta</a:t>
            </a:r>
            <a:r>
              <a:rPr lang="en-US"/>
              <a:t>l</a:t>
            </a:r>
          </a:p>
        </c:rich>
      </c:tx>
      <c:layout>
        <c:manualLayout>
          <c:xMode val="edge"/>
          <c:yMode val="edge"/>
          <c:x val="0.10830123846459491"/>
          <c:y val="2.9629629629629631E-2"/>
        </c:manualLayout>
      </c:layout>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virunigula!$C$140</c:f>
              <c:strCache>
                <c:ptCount val="1"/>
                <c:pt idx="0">
                  <c:v>2019a</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0-5115-4C6C-AE5C-3510BB21B1E7}"/>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1-5115-4C6C-AE5C-3510BB21B1E7}"/>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2-5115-4C6C-AE5C-3510BB21B1E7}"/>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3-5115-4C6C-AE5C-3510BB21B1E7}"/>
              </c:ext>
            </c:extLst>
          </c:dPt>
          <c:dLbls>
            <c:dLbl>
              <c:idx val="0"/>
              <c:layout>
                <c:manualLayout>
                  <c:x val="8.6579476072953573E-3"/>
                  <c:y val="2.0332847282978517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5115-4C6C-AE5C-3510BB21B1E7}"/>
                </c:ext>
              </c:extLst>
            </c:dLbl>
            <c:dLbl>
              <c:idx val="1"/>
              <c:layout>
                <c:manualLayout>
                  <c:x val="-6.9991251093613358E-2"/>
                  <c:y val="-0.28015619998719682"/>
                </c:manualLayout>
              </c:layout>
              <c:showLegendKey val="0"/>
              <c:showVal val="0"/>
              <c:showCatName val="1"/>
              <c:showSerName val="0"/>
              <c:showPercent val="1"/>
              <c:showBubbleSize val="0"/>
              <c:extLst>
                <c:ext xmlns:c15="http://schemas.microsoft.com/office/drawing/2012/chart" uri="{CE6537A1-D6FC-4f65-9D91-7224C49458BB}">
                  <c15:layout>
                    <c:manualLayout>
                      <c:w val="0.26859142607174108"/>
                      <c:h val="0.11498257839721254"/>
                    </c:manualLayout>
                  </c15:layout>
                </c:ext>
                <c:ext xmlns:c16="http://schemas.microsoft.com/office/drawing/2014/chart" uri="{C3380CC4-5D6E-409C-BE32-E72D297353CC}">
                  <c16:uniqueId val="{00000001-5115-4C6C-AE5C-3510BB21B1E7}"/>
                </c:ext>
              </c:extLst>
            </c:dLbl>
            <c:dLbl>
              <c:idx val="2"/>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2-5115-4C6C-AE5C-3510BB21B1E7}"/>
                </c:ext>
              </c:extLst>
            </c:dLbl>
            <c:dLbl>
              <c:idx val="3"/>
              <c:layout>
                <c:manualLayout>
                  <c:x val="-0.38732720909886265"/>
                  <c:y val="8.6807742782152225E-2"/>
                </c:manualLayout>
              </c:layout>
              <c:tx>
                <c:rich>
                  <a:bodyPr/>
                  <a:lstStyle/>
                  <a:p>
                    <a:fld id="{6A9D9BEE-B1AE-4258-8B71-1B388DC6AFFB}" type="CATEGORYNAME">
                      <a:rPr lang="en-US"/>
                      <a:pPr/>
                      <a:t>[KATEGOORIA NIMI]</a:t>
                    </a:fld>
                    <a:r>
                      <a:rPr lang="en-US" baseline="0"/>
                      <a:t>
</a:t>
                    </a:r>
                    <a:fld id="{2A73F1D5-EAE0-4F97-8301-C8288BE5A2F8}" type="PERCENTAGE">
                      <a:rPr lang="en-US" baseline="0"/>
                      <a:pPr/>
                      <a:t>[PROTSENT]</a:t>
                    </a:fld>
                    <a:endParaRPr lang="en-US" baseline="0"/>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5115-4C6C-AE5C-3510BB21B1E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virunigula!$B$141:$B$144</c:f>
              <c:strCache>
                <c:ptCount val="4"/>
                <c:pt idx="0">
                  <c:v>antavad toetused</c:v>
                </c:pt>
                <c:pt idx="1">
                  <c:v>personalikulud</c:v>
                </c:pt>
                <c:pt idx="2">
                  <c:v>majandamiskulud</c:v>
                </c:pt>
                <c:pt idx="3">
                  <c:v>Muud tegevuskulud</c:v>
                </c:pt>
              </c:strCache>
            </c:strRef>
          </c:cat>
          <c:val>
            <c:numRef>
              <c:f>virunigula!$C$141:$C$144</c:f>
              <c:numCache>
                <c:formatCode>#,##0</c:formatCode>
                <c:ptCount val="4"/>
                <c:pt idx="0">
                  <c:v>500000</c:v>
                </c:pt>
                <c:pt idx="1">
                  <c:v>4900000</c:v>
                </c:pt>
                <c:pt idx="2">
                  <c:v>2620000</c:v>
                </c:pt>
                <c:pt idx="3">
                  <c:v>50000</c:v>
                </c:pt>
              </c:numCache>
            </c:numRef>
          </c:val>
          <c:extLst>
            <c:ext xmlns:c16="http://schemas.microsoft.com/office/drawing/2014/chart" uri="{C3380CC4-5D6E-409C-BE32-E72D297353CC}">
              <c16:uniqueId val="{00000004-5115-4C6C-AE5C-3510BB21B1E7}"/>
            </c:ext>
          </c:extLst>
        </c:ser>
        <c:dLbls>
          <c:showLegendKey val="0"/>
          <c:showVal val="0"/>
          <c:showCatName val="1"/>
          <c:showSerName val="0"/>
          <c:showPercent val="1"/>
          <c:showBubbleSize val="0"/>
          <c:showLeaderLines val="1"/>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Leht1!$D$79</c:f>
              <c:strCache>
                <c:ptCount val="1"/>
                <c:pt idx="0">
                  <c:v>omaosalus</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Leht1!$C$80:$C$85</c:f>
              <c:strCache>
                <c:ptCount val="6"/>
                <c:pt idx="0">
                  <c:v>2018.</c:v>
                </c:pt>
                <c:pt idx="1">
                  <c:v>2019.</c:v>
                </c:pt>
                <c:pt idx="2">
                  <c:v>2020.</c:v>
                </c:pt>
                <c:pt idx="3">
                  <c:v>2021.</c:v>
                </c:pt>
                <c:pt idx="4">
                  <c:v>2022.</c:v>
                </c:pt>
                <c:pt idx="5">
                  <c:v>2023.</c:v>
                </c:pt>
              </c:strCache>
            </c:strRef>
          </c:cat>
          <c:val>
            <c:numRef>
              <c:f>Leht1!$D$80:$D$85</c:f>
              <c:numCache>
                <c:formatCode>#,##0</c:formatCode>
                <c:ptCount val="6"/>
                <c:pt idx="0">
                  <c:v>983320</c:v>
                </c:pt>
                <c:pt idx="1">
                  <c:v>1903822</c:v>
                </c:pt>
                <c:pt idx="2">
                  <c:v>659160</c:v>
                </c:pt>
                <c:pt idx="3">
                  <c:v>363250</c:v>
                </c:pt>
                <c:pt idx="4">
                  <c:v>316535</c:v>
                </c:pt>
                <c:pt idx="5">
                  <c:v>125000</c:v>
                </c:pt>
              </c:numCache>
            </c:numRef>
          </c:val>
          <c:extLst>
            <c:ext xmlns:c16="http://schemas.microsoft.com/office/drawing/2014/chart" uri="{C3380CC4-5D6E-409C-BE32-E72D297353CC}">
              <c16:uniqueId val="{00000000-3672-4DE5-AC0D-53FA2D7943AF}"/>
            </c:ext>
          </c:extLst>
        </c:ser>
        <c:ser>
          <c:idx val="1"/>
          <c:order val="1"/>
          <c:tx>
            <c:strRef>
              <c:f>Leht1!$E$79</c:f>
              <c:strCache>
                <c:ptCount val="1"/>
                <c:pt idx="0">
                  <c:v>projektitoetus</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Leht1!$C$80:$C$85</c:f>
              <c:strCache>
                <c:ptCount val="6"/>
                <c:pt idx="0">
                  <c:v>2018.</c:v>
                </c:pt>
                <c:pt idx="1">
                  <c:v>2019.</c:v>
                </c:pt>
                <c:pt idx="2">
                  <c:v>2020.</c:v>
                </c:pt>
                <c:pt idx="3">
                  <c:v>2021.</c:v>
                </c:pt>
                <c:pt idx="4">
                  <c:v>2022.</c:v>
                </c:pt>
                <c:pt idx="5">
                  <c:v>2023.</c:v>
                </c:pt>
              </c:strCache>
            </c:strRef>
          </c:cat>
          <c:val>
            <c:numRef>
              <c:f>Leht1!$E$80:$E$85</c:f>
              <c:numCache>
                <c:formatCode>#,##0</c:formatCode>
                <c:ptCount val="6"/>
                <c:pt idx="0">
                  <c:v>1016777</c:v>
                </c:pt>
                <c:pt idx="1">
                  <c:v>2210870</c:v>
                </c:pt>
                <c:pt idx="2">
                  <c:v>641240</c:v>
                </c:pt>
                <c:pt idx="3">
                  <c:v>1218750</c:v>
                </c:pt>
                <c:pt idx="4">
                  <c:v>1283031</c:v>
                </c:pt>
                <c:pt idx="5">
                  <c:v>1050000</c:v>
                </c:pt>
              </c:numCache>
            </c:numRef>
          </c:val>
          <c:extLst>
            <c:ext xmlns:c16="http://schemas.microsoft.com/office/drawing/2014/chart" uri="{C3380CC4-5D6E-409C-BE32-E72D297353CC}">
              <c16:uniqueId val="{00000001-3672-4DE5-AC0D-53FA2D7943AF}"/>
            </c:ext>
          </c:extLst>
        </c:ser>
        <c:dLbls>
          <c:showLegendKey val="0"/>
          <c:showVal val="1"/>
          <c:showCatName val="0"/>
          <c:showSerName val="0"/>
          <c:showPercent val="0"/>
          <c:showBubbleSize val="0"/>
        </c:dLbls>
        <c:gapWidth val="75"/>
        <c:shape val="box"/>
        <c:axId val="98561024"/>
        <c:axId val="99812096"/>
        <c:axId val="0"/>
      </c:bar3DChart>
      <c:catAx>
        <c:axId val="9856102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99812096"/>
        <c:crosses val="autoZero"/>
        <c:auto val="1"/>
        <c:lblAlgn val="ctr"/>
        <c:lblOffset val="100"/>
        <c:noMultiLvlLbl val="0"/>
      </c:catAx>
      <c:valAx>
        <c:axId val="99812096"/>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985610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Leht1!$B$50</c:f>
              <c:strCache>
                <c:ptCount val="1"/>
                <c:pt idx="0">
                  <c:v>netovk%
estr järgi</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Leht1!$A$51:$A$57</c:f>
              <c:strCache>
                <c:ptCount val="7"/>
                <c:pt idx="0">
                  <c:v>2017.</c:v>
                </c:pt>
                <c:pt idx="1">
                  <c:v>2018.</c:v>
                </c:pt>
                <c:pt idx="2">
                  <c:v>2019.</c:v>
                </c:pt>
                <c:pt idx="3">
                  <c:v>2020.</c:v>
                </c:pt>
                <c:pt idx="4">
                  <c:v>2021.</c:v>
                </c:pt>
                <c:pt idx="5">
                  <c:v>2022.</c:v>
                </c:pt>
                <c:pt idx="6">
                  <c:v>2023.</c:v>
                </c:pt>
              </c:strCache>
            </c:strRef>
          </c:cat>
          <c:val>
            <c:numRef>
              <c:f>Leht1!$B$51:$B$57</c:f>
              <c:numCache>
                <c:formatCode>General</c:formatCode>
                <c:ptCount val="7"/>
                <c:pt idx="0">
                  <c:v>12.6</c:v>
                </c:pt>
                <c:pt idx="1">
                  <c:v>12.5</c:v>
                </c:pt>
                <c:pt idx="2" formatCode="0.0">
                  <c:v>29</c:v>
                </c:pt>
                <c:pt idx="3">
                  <c:v>32.6</c:v>
                </c:pt>
                <c:pt idx="4" formatCode="0.0">
                  <c:v>32.700000000000003</c:v>
                </c:pt>
                <c:pt idx="5">
                  <c:v>31.7</c:v>
                </c:pt>
                <c:pt idx="6">
                  <c:v>28.1</c:v>
                </c:pt>
              </c:numCache>
            </c:numRef>
          </c:val>
          <c:smooth val="0"/>
          <c:extLst>
            <c:ext xmlns:c16="http://schemas.microsoft.com/office/drawing/2014/chart" uri="{C3380CC4-5D6E-409C-BE32-E72D297353CC}">
              <c16:uniqueId val="{00000000-A55A-41EA-89C6-7BFA5AE3E3A2}"/>
            </c:ext>
          </c:extLst>
        </c:ser>
        <c:ser>
          <c:idx val="1"/>
          <c:order val="1"/>
          <c:tx>
            <c:strRef>
              <c:f>Leht1!$C$50</c:f>
              <c:strCache>
                <c:ptCount val="1"/>
                <c:pt idx="0">
                  <c:v>lubatud
netovk%</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Leht1!$A$51:$A$57</c:f>
              <c:strCache>
                <c:ptCount val="7"/>
                <c:pt idx="0">
                  <c:v>2017.</c:v>
                </c:pt>
                <c:pt idx="1">
                  <c:v>2018.</c:v>
                </c:pt>
                <c:pt idx="2">
                  <c:v>2019.</c:v>
                </c:pt>
                <c:pt idx="3">
                  <c:v>2020.</c:v>
                </c:pt>
                <c:pt idx="4">
                  <c:v>2021.</c:v>
                </c:pt>
                <c:pt idx="5">
                  <c:v>2022.</c:v>
                </c:pt>
                <c:pt idx="6">
                  <c:v>2023.</c:v>
                </c:pt>
              </c:strCache>
            </c:strRef>
          </c:cat>
          <c:val>
            <c:numRef>
              <c:f>Leht1!$C$51:$C$57</c:f>
              <c:numCache>
                <c:formatCode>General</c:formatCode>
                <c:ptCount val="7"/>
                <c:pt idx="0">
                  <c:v>60</c:v>
                </c:pt>
                <c:pt idx="1">
                  <c:v>60</c:v>
                </c:pt>
                <c:pt idx="2">
                  <c:v>60</c:v>
                </c:pt>
                <c:pt idx="3">
                  <c:v>60</c:v>
                </c:pt>
                <c:pt idx="4">
                  <c:v>60</c:v>
                </c:pt>
                <c:pt idx="5">
                  <c:v>60</c:v>
                </c:pt>
                <c:pt idx="6">
                  <c:v>60</c:v>
                </c:pt>
              </c:numCache>
            </c:numRef>
          </c:val>
          <c:smooth val="0"/>
          <c:extLst>
            <c:ext xmlns:c16="http://schemas.microsoft.com/office/drawing/2014/chart" uri="{C3380CC4-5D6E-409C-BE32-E72D297353CC}">
              <c16:uniqueId val="{00000001-A55A-41EA-89C6-7BFA5AE3E3A2}"/>
            </c:ext>
          </c:extLst>
        </c:ser>
        <c:dLbls>
          <c:showLegendKey val="0"/>
          <c:showVal val="1"/>
          <c:showCatName val="0"/>
          <c:showSerName val="0"/>
          <c:showPercent val="0"/>
          <c:showBubbleSize val="0"/>
        </c:dLbls>
        <c:marker val="1"/>
        <c:smooth val="0"/>
        <c:axId val="99829248"/>
        <c:axId val="99830784"/>
      </c:lineChart>
      <c:catAx>
        <c:axId val="998292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99830784"/>
        <c:crosses val="autoZero"/>
        <c:auto val="1"/>
        <c:lblAlgn val="ctr"/>
        <c:lblOffset val="100"/>
        <c:noMultiLvlLbl val="0"/>
      </c:catAx>
      <c:valAx>
        <c:axId val="99830784"/>
        <c:scaling>
          <c:orientation val="minMax"/>
        </c:scaling>
        <c:delete val="1"/>
        <c:axPos val="l"/>
        <c:numFmt formatCode="General" sourceLinked="1"/>
        <c:majorTickMark val="none"/>
        <c:minorTickMark val="none"/>
        <c:tickLblPos val="none"/>
        <c:crossAx val="9982924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2">
    <c:autoUpdate val="0"/>
  </c:externalData>
</c:chartSpace>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3E8FE4-87B6-447A-B9C2-315001BDD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26</Pages>
  <Words>7483</Words>
  <Characters>43404</Characters>
  <Application>Microsoft Office Word</Application>
  <DocSecurity>0</DocSecurity>
  <Lines>361</Lines>
  <Paragraphs>101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Viru-Nigula valla profiil  Viru-Nigula valla arengukava</vt:lpstr>
      <vt:lpstr>Viru-Nigula valla profiil  Viru-Nigula valla arengukava</vt:lpstr>
    </vt:vector>
  </TitlesOfParts>
  <Company/>
  <LinksUpToDate>false</LinksUpToDate>
  <CharactersWithSpaces>50786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Viru-Nigula valla profiil  Viru-Nigula valla arengukava</dc:title>
  <dc:creator>r</dc:creator>
  <cp:lastModifiedBy>Eve</cp:lastModifiedBy>
  <cp:revision>56</cp:revision>
  <dcterms:created xsi:type="dcterms:W3CDTF">2018-08-07T02:22:00Z</dcterms:created>
  <dcterms:modified xsi:type="dcterms:W3CDTF">2018-08-10T10:51:00Z</dcterms:modified>
</cp:coreProperties>
</file>