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C3" w:rsidRDefault="009F4DC3" w:rsidP="009F4DC3">
      <w:pPr>
        <w:jc w:val="right"/>
        <w:rPr>
          <w:b/>
          <w:bCs/>
          <w:lang w:val="et-EE" w:eastAsia="zh-CN"/>
        </w:rPr>
      </w:pPr>
      <w:proofErr w:type="spellStart"/>
      <w:proofErr w:type="gramStart"/>
      <w:r>
        <w:rPr>
          <w:b/>
          <w:bCs/>
        </w:rPr>
        <w:t>eelnõu</w:t>
      </w:r>
      <w:proofErr w:type="spellEnd"/>
      <w:proofErr w:type="gramEnd"/>
    </w:p>
    <w:p w:rsidR="009F4DC3" w:rsidRDefault="009F4DC3" w:rsidP="009F4DC3">
      <w:pPr>
        <w:jc w:val="both"/>
      </w:pPr>
    </w:p>
    <w:p w:rsidR="009F4DC3" w:rsidRDefault="009F4DC3" w:rsidP="009F4DC3">
      <w:pPr>
        <w:jc w:val="both"/>
      </w:pPr>
    </w:p>
    <w:p w:rsidR="009F4DC3" w:rsidRDefault="009F4DC3" w:rsidP="009F4DC3">
      <w:pPr>
        <w:jc w:val="both"/>
      </w:pPr>
    </w:p>
    <w:p w:rsidR="000D22BE" w:rsidRPr="004B06CE" w:rsidRDefault="000D22BE" w:rsidP="000D22BE">
      <w:pPr>
        <w:jc w:val="both"/>
        <w:rPr>
          <w:b/>
        </w:rPr>
      </w:pPr>
      <w:r w:rsidRPr="004B06CE">
        <w:rPr>
          <w:b/>
        </w:rPr>
        <w:t>VIRU-NIGULA VALLAVOLIKOGU</w:t>
      </w:r>
    </w:p>
    <w:p w:rsidR="009F4DC3" w:rsidRDefault="009F4DC3" w:rsidP="009F4DC3">
      <w:pPr>
        <w:jc w:val="both"/>
      </w:pPr>
    </w:p>
    <w:p w:rsidR="009F4DC3" w:rsidRDefault="009F4DC3" w:rsidP="009F4DC3">
      <w:pPr>
        <w:jc w:val="both"/>
      </w:pPr>
    </w:p>
    <w:p w:rsidR="009F4DC3" w:rsidRDefault="009F4DC3" w:rsidP="009F4DC3">
      <w:pPr>
        <w:jc w:val="both"/>
        <w:rPr>
          <w:b/>
        </w:rPr>
      </w:pPr>
      <w:r>
        <w:rPr>
          <w:b/>
        </w:rPr>
        <w:t>MÄÄRUS nr</w:t>
      </w:r>
    </w:p>
    <w:p w:rsidR="009F4DC3" w:rsidRPr="000D22BE" w:rsidRDefault="000D22BE" w:rsidP="000D22BE">
      <w:pPr>
        <w:jc w:val="right"/>
      </w:pPr>
      <w:r w:rsidRPr="000D22BE">
        <w:t xml:space="preserve">23. </w:t>
      </w:r>
      <w:proofErr w:type="spellStart"/>
      <w:proofErr w:type="gramStart"/>
      <w:r w:rsidRPr="000D22BE">
        <w:t>november</w:t>
      </w:r>
      <w:proofErr w:type="spellEnd"/>
      <w:proofErr w:type="gramEnd"/>
      <w:r w:rsidRPr="000D22BE">
        <w:t xml:space="preserve"> 2017 </w:t>
      </w:r>
      <w:proofErr w:type="spellStart"/>
      <w:r w:rsidRPr="000D22BE">
        <w:t>nr</w:t>
      </w:r>
      <w:proofErr w:type="spellEnd"/>
    </w:p>
    <w:p w:rsidR="009F4DC3" w:rsidRDefault="009F4DC3" w:rsidP="009F4DC3">
      <w:pPr>
        <w:jc w:val="both"/>
        <w:rPr>
          <w:b/>
        </w:rPr>
      </w:pPr>
    </w:p>
    <w:p w:rsidR="009F4DC3" w:rsidRDefault="009F4DC3" w:rsidP="009F4DC3">
      <w:pPr>
        <w:jc w:val="both"/>
        <w:rPr>
          <w:b/>
        </w:rPr>
      </w:pPr>
    </w:p>
    <w:p w:rsidR="009F4DC3" w:rsidRDefault="009F4DC3" w:rsidP="009F4DC3">
      <w:pPr>
        <w:jc w:val="both"/>
        <w:rPr>
          <w:b/>
        </w:rPr>
      </w:pPr>
    </w:p>
    <w:p w:rsidR="009F4DC3" w:rsidRDefault="009F4DC3" w:rsidP="009F4DC3">
      <w:pPr>
        <w:jc w:val="both"/>
        <w:rPr>
          <w:b/>
        </w:rPr>
      </w:pPr>
    </w:p>
    <w:p w:rsidR="009F4DC3" w:rsidRDefault="009F4DC3" w:rsidP="009F4DC3">
      <w:pPr>
        <w:jc w:val="both"/>
        <w:rPr>
          <w:b/>
        </w:rPr>
      </w:pPr>
      <w:proofErr w:type="spellStart"/>
      <w:r>
        <w:rPr>
          <w:b/>
          <w:bCs/>
        </w:rPr>
        <w:t>Viru-Nigula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ametiasutuste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palgajuhend</w:t>
      </w:r>
      <w:proofErr w:type="spellEnd"/>
    </w:p>
    <w:p w:rsidR="009F4DC3" w:rsidRDefault="009F4DC3" w:rsidP="009F4DC3">
      <w:pPr>
        <w:jc w:val="both"/>
        <w:rPr>
          <w:b/>
        </w:rPr>
      </w:pPr>
    </w:p>
    <w:p w:rsidR="009F4DC3" w:rsidRDefault="009F4DC3" w:rsidP="009F4DC3">
      <w:pPr>
        <w:jc w:val="both"/>
        <w:rPr>
          <w:b/>
        </w:rPr>
      </w:pPr>
    </w:p>
    <w:p w:rsidR="009F4DC3" w:rsidRDefault="009F4DC3" w:rsidP="009F4DC3">
      <w:pPr>
        <w:jc w:val="both"/>
        <w:rPr>
          <w:b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Määrus kehtestatakse kohaliku omavalitsuse</w:t>
      </w:r>
      <w:r w:rsidR="009E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korralduse seaduse § 22 l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õike</w:t>
      </w:r>
      <w:r w:rsidR="009E0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unkti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 ning avaliku teenistuse seaduse § 11 l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õike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ja § 63 l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õike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alusel.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1. Palgajuhendi reguleerimisala </w:t>
      </w:r>
    </w:p>
    <w:p w:rsidR="009F4DC3" w:rsidRDefault="000D22BE" w:rsidP="009F4DC3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Viru-Nigula valla ametiasutuse palgajuhendiga (edaspidi </w:t>
      </w:r>
      <w:r w:rsidR="009F4D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palgajuhend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määratakse kindlaks Viru-Nigula valla ametiasutuse (edaspidi </w:t>
      </w:r>
      <w:r w:rsidR="009F4D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vallavalitsus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) teenistujate töötasustamise korraldus, tingimused ja tasu maksmise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him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tted, et tagada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iglane ja arusaadav tasusüsteem, mis arvestab ametikoha väärtust ning tagab palkade sisemise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igluse ja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rdluse palgaturuga. </w:t>
      </w:r>
    </w:p>
    <w:p w:rsidR="009F4DC3" w:rsidRDefault="000D22BE" w:rsidP="009F4DC3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Tasustamise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him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tted on avalikud ja kättesaadavad k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ikidele teenistujatele.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2. Palgajuhendi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nl-NL"/>
        </w:rPr>
        <w:t xml:space="preserve"> eesm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ärk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Viru-Nigula vald soovib palgajuhendis sä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testatud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tteid järgides maksta oma teenistujatele konkurentsiv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imelist tasu ja soodustada töötajaskonna hoidmist, otsimist ja arendamist ning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imaldada teenistujatele konkurentsiv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imelisi teenistustingimusi.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3. M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isted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esolevas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ääruses kasutatakse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isteid 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rgmises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henduses:</w:t>
      </w:r>
    </w:p>
    <w:p w:rsidR="009F4DC3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C19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teenistusgrupp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valdavas osas sarnaste teenistus- v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</w:rPr>
        <w:t>i tööülesannetega teenistuskohtade grupp;</w:t>
      </w:r>
      <w:r w:rsidR="009C19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C19C4" w:rsidRPr="009C19C4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C19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teenistuskoht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ametiasutuse teenistuskohtade koosseisus </w:t>
      </w:r>
      <w:proofErr w:type="spellStart"/>
      <w:r w:rsidR="009C19C4">
        <w:rPr>
          <w:rFonts w:ascii="Times New Roman" w:hAnsi="Times New Roman" w:cs="Times New Roman"/>
          <w:sz w:val="24"/>
          <w:szCs w:val="24"/>
          <w:shd w:val="clear" w:color="auto" w:fill="FFFFFF"/>
        </w:rPr>
        <w:t>ettenä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htud</w:t>
      </w:r>
      <w:proofErr w:type="spellEnd"/>
      <w:r w:rsidR="000D22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C19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ameti</w:t>
      </w:r>
      <w:proofErr w:type="spellEnd"/>
      <w:r w:rsidR="009C19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v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C19C4">
        <w:rPr>
          <w:rFonts w:ascii="Times New Roman" w:hAnsi="Times New Roman" w:cs="Times New Roman"/>
          <w:sz w:val="24"/>
          <w:szCs w:val="24"/>
          <w:shd w:val="clear" w:color="auto" w:fill="FFFFFF"/>
        </w:rPr>
        <w:t>i töökoht;</w:t>
      </w:r>
    </w:p>
    <w:p w:rsidR="009C19C4" w:rsidRPr="009C19C4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teenistuja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- ametiasutusega avalik-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iguslikus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teenistus- ja usaldussuhtes olev ametnik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 era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iguslikus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töösuhtes olev töötaja;</w:t>
      </w:r>
    </w:p>
    <w:p w:rsidR="00B61716" w:rsidRPr="00B61716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ametnik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- ametiasutusega avalik-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iguslikus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teenistus- ja usaldussuhtes olev isik, kes teostab avalikku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imu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ametikohal ning nimetatakse ametikohale ja vabastatakse teenistusest avaliku teenistuse seaduse alusel;</w:t>
      </w:r>
    </w:p>
    <w:p w:rsidR="00B61716" w:rsidRDefault="009B76ED" w:rsidP="00B61716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töötaja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- ametiasutusega era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iguslikus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töösuhtes olev isik, kes ei teosta avalikku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imu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, vaid teeb avaliku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imu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teostamist toetavat tööd töökohal ning töötab töölepinguseaduse alusel;</w:t>
      </w:r>
    </w:p>
    <w:p w:rsidR="00B61716" w:rsidRPr="00B61716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palk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ametniku p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hipalk ja töötaja töötasu koos muutuvpalgaga;</w:t>
      </w:r>
    </w:p>
    <w:p w:rsidR="00B61716" w:rsidRDefault="009B76ED" w:rsidP="00B61716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palgaaste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näitarv, mis seostab teenistuskohta sellele vastava p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hipalgaga;</w:t>
      </w:r>
    </w:p>
    <w:p w:rsidR="00B61716" w:rsidRDefault="009B76ED" w:rsidP="00B61716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hipalga</w:t>
      </w:r>
      <w:proofErr w:type="spellEnd"/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vahemik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teenistuskoha p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hipalga alam- ja ü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lemm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äära vahemik;</w:t>
      </w:r>
    </w:p>
    <w:p w:rsidR="00B61716" w:rsidRDefault="009B76ED" w:rsidP="00B61716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õ</w:t>
      </w:r>
      <w:proofErr w:type="spellStart"/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hipalk</w:t>
      </w:r>
      <w:proofErr w:type="spellEnd"/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teenistuja palga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 töötaja töötasu fikseeritud osa, mis on määratud teenistuskoha ülesannete ning teenistusalaste teadmiste, oskuste ja kogemuste p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hjal;</w:t>
      </w:r>
    </w:p>
    <w:p w:rsidR="00B61716" w:rsidRPr="00B61716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muutuvpalk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teenistuja palga ebaregulaarne osa, mida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ib maksta tulemuspalgana, preemiana erakordsete teenistusalaste saavutuste eest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 lisatasuna 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lesannete eest, mis 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ületavad kokkulepitud töömahtu, ei tulene töö sisust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 ei ole seotud ametikoha eesmärgiga;</w:t>
      </w:r>
    </w:p>
    <w:p w:rsidR="00B61716" w:rsidRDefault="009B76ED" w:rsidP="00B61716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tulemuspalk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muutuvpalga üks komponent, mida v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ib teenistujale maksta silmapaistvate tulemuste eest seatud eesmärkide saavutamisel;</w:t>
      </w:r>
    </w:p>
    <w:p w:rsidR="009F4DC3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</w:t>
      </w:r>
      <w:r w:rsidR="009F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lisatasu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ja muutuvpalgale lisaks makstav täiendav tasu puuduva teenistuja ülesannete täitmise, 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ületunnitöö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valveaja, 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öötöö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riigipü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hadel t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öö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tamise eest;</w:t>
      </w:r>
    </w:p>
    <w:p w:rsidR="009F4DC3" w:rsidRPr="00B61716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="009F4DC3" w:rsidRPr="00B6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preemia</w:t>
      </w:r>
      <w:r w:rsidR="009F4DC3" w:rsidRP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kauaaegse laitmatu töö v</w:t>
      </w:r>
      <w:r w:rsidR="009F4DC3" w:rsidRPr="00B6171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 w:rsidRP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teenistuskohustuste silmapaistvalt hea </w:t>
      </w:r>
      <w:proofErr w:type="spellStart"/>
      <w:r w:rsidR="009F4DC3" w:rsidRPr="00B61716">
        <w:rPr>
          <w:rFonts w:ascii="Times New Roman" w:hAnsi="Times New Roman" w:cs="Times New Roman"/>
          <w:sz w:val="24"/>
          <w:szCs w:val="24"/>
          <w:shd w:val="clear" w:color="auto" w:fill="FFFFFF"/>
        </w:rPr>
        <w:t>tä</w:t>
      </w:r>
      <w:proofErr w:type="spellEnd"/>
      <w:r w:rsidR="009F4DC3" w:rsidRPr="00B6171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itmise eest kohaldatav ergutus;</w:t>
      </w:r>
    </w:p>
    <w:p w:rsidR="009F4DC3" w:rsidRDefault="009B76ED" w:rsidP="009F4DC3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nl-NL"/>
        </w:rPr>
        <w:t xml:space="preserve"> </w:t>
      </w:r>
      <w:r w:rsidR="009F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nl-NL"/>
        </w:rPr>
        <w:t>toetus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tasu, mida makstakse töösoorituse tulemuslikkusest 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mittes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ltuvatel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asjaoludel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4.  Tasustamise ü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ldp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õ</w:t>
      </w:r>
      <w:proofErr w:type="spellStart"/>
      <w:r w:rsidRPr="006D63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õ</w:t>
      </w:r>
      <w:proofErr w:type="spellStart"/>
      <w:r w:rsidRPr="006D63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tted</w:t>
      </w:r>
      <w:proofErr w:type="spellEnd"/>
    </w:p>
    <w:p w:rsidR="009F4DC3" w:rsidRDefault="009B76ED" w:rsidP="009B76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Teenistujate palkade määramisel ja töötajatega töötasude kokku leppimisel ning maksmisel lähtutakse avaliku teenistuse seadusest, töölepingu seadusest, käesolevast palgajuhendist ja eelarvest.</w:t>
      </w:r>
    </w:p>
    <w:p w:rsidR="009F4DC3" w:rsidRDefault="009B76ED" w:rsidP="009B76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Ametnikele makstakse palka ja töötajatele töötasu sarnastel alustel.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(3) Palga arvestusperiood on kalendrikuu. Palka arvestatakse ajavahemiku eest, mil teenistuja tä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itis talle pandud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lesandeid.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Kui teenistujale on kehtestatud täistööajast lü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hem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ööaeg, arvestatakse palka proportsionaalselt tööl oldud aja eest. Palgast arvestab tööandja maha seadusega ette nähtud maksud ja maksed.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 Tööaja arvestus toimub tööaja arvestuse tabeli alusel.</w:t>
      </w:r>
    </w:p>
    <w:p w:rsidR="000D22BE" w:rsidRDefault="000D22BE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5. Tasukomponendid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Teenistujatele tasu maksmisel kasutatakse järgmisi tasukomponente: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hipalk;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tulemuspalk;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3) lisatasu;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4) preemia;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5) toetused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hüvitised.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6. Põhipalga astmestik</w:t>
      </w:r>
    </w:p>
    <w:p w:rsidR="009F4DC3" w:rsidRDefault="009B76ED" w:rsidP="009B76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Teenistuskohad jagunevad teenistusgruppidesse ja igale teenistusgrupile vastab palgaaste.</w:t>
      </w:r>
    </w:p>
    <w:p w:rsidR="009F4DC3" w:rsidRDefault="009B76ED" w:rsidP="009B76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Palgaastme põhipalga vahemiku arvutamise aluseks on Vabariigi Valitsuse poolt kehtestatud miinimumpalk. </w:t>
      </w:r>
    </w:p>
    <w:p w:rsidR="009F4DC3" w:rsidRDefault="000D22BE" w:rsidP="009B76ED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Teenistusgrupi palgaaste ja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algaastme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hipalga vahemik teenistusgrupile kinnitatakse kä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esoleva m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ää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ruse lisas.</w:t>
      </w:r>
    </w:p>
    <w:p w:rsidR="009F4DC3" w:rsidRDefault="000D22BE" w:rsidP="009B76ED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Kord aastas viiakse läbi palkade sisemise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igluse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palkade konkurentsiv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ime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anal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üü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s. </w:t>
      </w:r>
    </w:p>
    <w:p w:rsidR="009F4DC3" w:rsidRDefault="000D22BE" w:rsidP="009B76ED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Kui palkade konkurentsivõime analüüsi põhjal on enamike (80%) teenistuskohtade võrdlusgrupi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hipalkade suurus j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udnud vastava palgaastme ülemmäärani, teeb vallavalitsus ettepaneku palgavahemike muutmiseks. Sellekohane eeln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u esitatakse vallavolikogule hiljemalt koos jä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rgmise aasta eelarve eeln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volikogu menetlusse esitamisega. </w:t>
      </w:r>
    </w:p>
    <w:p w:rsidR="009F4DC3" w:rsidRDefault="000D22BE" w:rsidP="009B76ED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Kui teenistujate palgad jää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 xml:space="preserve">vad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palkade konkurentsivõime analüüsi põhjal olulisel määral allapoole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rdlusgruppi, esitab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vallavalitsus volikogule ettepaneku teenistujate palgavahemike korrigeerimiseks ja planeerib jä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rgmise aasta eelarvesse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imaluste piires vahendid palgaerinevuste likvideerimiseks.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7. P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hipalga maksmise tingimused ja kord</w:t>
      </w:r>
    </w:p>
    <w:p w:rsidR="009F4DC3" w:rsidRDefault="000D22BE" w:rsidP="009F4DC3">
      <w:pPr>
        <w:pStyle w:val="Defaul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Teenistuja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hipalga määramise aluseks on teenistuskoha kuuluvus vastava teenistusgrupi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palg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aastmele. </w:t>
      </w:r>
    </w:p>
    <w:p w:rsidR="009F4DC3" w:rsidRDefault="000D22BE" w:rsidP="009F4DC3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nl-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Ametiasutuse tegevuse ja eesm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ärkide saavutamise m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ttes eriti oluliste teenistuskohtade puhul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ib teenistujale mää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rata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kehtestatud palgavahemikust k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õrgema põ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hipalga, kui </w:t>
      </w:r>
      <w:r w:rsidR="009F4DC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vastavate töötajate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palk tööturul ületab teenistuskoha palgaklassi palgataset.</w:t>
      </w:r>
    </w:p>
    <w:p w:rsidR="009F4DC3" w:rsidRDefault="000D22BE" w:rsidP="009F4DC3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hipalga</w:t>
      </w:r>
      <w:proofErr w:type="spellEnd"/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suurus teenistuskohale kinnitatakse käesoleva mää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ruse lisas.</w:t>
      </w:r>
    </w:p>
    <w:p w:rsidR="009F4DC3" w:rsidRDefault="000D22BE" w:rsidP="009F4DC3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Teenistujale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ib katseajal määrata kuni 20% madalama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hipalga. Sama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him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tet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ib rakendada ka määratud ajaks teenistusse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etud ajutiselt äraoleva teenistuja asendajale ja teisele teenistuskohale üleviidud teenistujale, kuid mitte kauem kui kuus kuud.</w:t>
      </w:r>
    </w:p>
    <w:p w:rsidR="009F4DC3" w:rsidRDefault="000D22BE" w:rsidP="009F4DC3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Teenistuja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hipalk vaadatakse üle üks kord aastas ja selle kinnitab volikogu, välja arvatud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hipalga muutumine pärast katseaja l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ppu. </w:t>
      </w:r>
    </w:p>
    <w:p w:rsidR="009F4DC3" w:rsidRDefault="000D22BE" w:rsidP="009F4DC3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Puhkuse, sealhulgas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ppepuhkuse ajaks säilitatakse teenistujale p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hipalk. Päevatasu alusel arvutatakse teenistujale puhkusetasu üksnes juhul, kui selle alusel arvutatav puhkusetasu on teenistuja jaoks soodsam.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8. Tulemuspalga maksmise tingimused ja kord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Tulemuspalk on muutuvpalga üks komponent, mida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 teenistujale maksta silmapaistvate tulemuste eest seatud eesmärkide saavutamisel.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(2) Tulemuspalka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 maksta üks kord aastas, teenistuja töötulemuste perioodilise hindamise tulemusel, tingimusel, et eelmiseks perioodiks pü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stitatud eesm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ärgid on saavutatud. Kui teenistuja lahkub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lt enne hindamisperioodi 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ppu, otsustatakse tulemuspalga määramine individuaalsete töötulemuste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hjal hiljemalt nädal enne vabastamise kuupäeva.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(3) Tulemuspalga maksmise ja selle suuruse määramisel arvestatakse iga ametniku individuaalset panust eesmärkide saavutamisel (töö intensiivsus, töö kvaliteet, tähtaegadest kinnipidamine, töö efektiivsus, operatiivne tegutsemine ootamatutes situatsioonides jms). Tulemustasu määraja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hjendab teenistujale tulemustasu suurust.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 Kui tulemuspalga maksmise aluseks on asutuse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struktuuriüksuse kollektiivsed tulemused, makstakse tulemuspalka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ikidele teenistujatele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rdsetel alustel.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(5) Tulemuspalga määramisel peab arvestama, et kogu muutuvpalga osakaal ei tohi ületada 20% teenistujate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hipalgast.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9. Lisatasude maksmise tingimused ja kord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Teenistujale makstakse jä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rgmisi lisatasusid: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ametijuhendivä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liste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ülesannete tä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itmise eest;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puuduva teenistuja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asendamise eest;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ületunnitöö, valveaja, öötöö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riigipühal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tamise eest.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(2) Ametijuhendivä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liste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ülesannete tä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itmise eest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 lisatasu maksta vaid juhul, kui lisatasu maksmises on kokku lepitud enne lisaülesande täitmist, mille kohta on andnud lisatasu maksmise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igust omav isik käskkirja.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(3) Lisatasu puuduva teenistuja asendamise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 eest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 maksta mitte enam kui 20% puuduva teenistuja põhipalgast. Puuduva ametniku asendamise eest lisatasu maksmisel ei kehti 20% muutuvpalga osakaalu ülempiir (ATS § 57).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Lisatasu puuduva ametniku asendamise eest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maksta vaid teenistujale, kelle ametijuhendijärgne kohustus ei ole asendada puuduvat teenistujat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kui asendamine tingib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rreldes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ametijuhendis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ettenä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htuga t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öökoormuse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olulise suurenemise. Lisatasu suurus ei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olla enam kui 20% puuduva teenistuja ametipalgast asendamise perioodil. Kui asendatava teenistuja põhipalk on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rgem asendava teenistuja põhipalgast, siis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 asendava teenistuja määrata asendatava teenistuja ülesannetesse ja maksta talle teenistuja põhipalka.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Ü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letunnitöö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eest makstakse teenistujale 1,5 kordset palka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imaldatakse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teenistuja taotlusel talle täiendavat vaba aega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ületunnitöö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ga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rdses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ulatuses. Kui ületunnitöö hüvitatakse rahas, peavad ületunnid kajastuma arvestusperioodi kohta peetavas tööajatabelis ning lisatasu tuleb maksta välja sama arvestusperioodi 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õpus.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(6) Valveaja eest makstakse teenistujale lisatasu 10% teenistuja palgast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imaldatakse teenistuja taotlusel talle täiendavat vaba aega 25% valveaja kestusest. Kui valveaeg hüvitatakse rahas, peab valveaeg kajastuma arvestusperioodi kohta peetavas tööajatabelis ning lisatasu tuleb maksta välja sama arvestusperioodi 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õpus.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(7) Ööajal töötamise eest makstakse teenistujale 1,25 kordset palka, kui nimetatud kohustus ei sisaldu tema ametijuhendis ja seda ei ole arvestatud tema palga määramisel,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imaldatakse teenistuja taotlusel talle täiendavat vaba aega </w:t>
      </w:r>
      <w:r w:rsidR="004348E1">
        <w:rPr>
          <w:rFonts w:ascii="Times New Roman" w:hAnsi="Times New Roman" w:cs="Times New Roman"/>
          <w:sz w:val="24"/>
          <w:szCs w:val="24"/>
          <w:shd w:val="clear" w:color="auto" w:fill="FFFFFF"/>
        </w:rPr>
        <w:t>ööajal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tatud ajaga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rdses ulatuses. Kui </w:t>
      </w:r>
      <w:r w:rsidR="004348E1">
        <w:rPr>
          <w:rFonts w:ascii="Times New Roman" w:hAnsi="Times New Roman" w:cs="Times New Roman"/>
          <w:sz w:val="24"/>
          <w:szCs w:val="24"/>
          <w:shd w:val="clear" w:color="auto" w:fill="FFFFFF"/>
        </w:rPr>
        <w:t>ööaja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 töötamine hüvitatakse rahas, peavad töötatud tunnid kajastuma arvestusperioodi kohta peetavas tööajatabelis ning lisatasu tuleb maksta välja sama arvestusperioodi 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õpus.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(8) Riigipühal töötamise eest makstakse teenistujale 2- kordset palka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imaldatakse teenistuja taotlusel talle täiendavat vaba aega riigipühal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tatud ajaga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rdses ulatuses. Kui riigipühal töötamine hüvitatakse rahas, peavad töötatud tunnid kajastuma arvestusperioodi kohta peetavas tööajatabelis ning lisatasu tuleb maksta välja sama arvestusperioodi 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õpus.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(9) Lisaülesannete tä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itmise eest tasu maksmiseks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iguslikke lepinguid teenistujatega ei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lmita.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Lisatasu määramisel peab arvestama, et kogu muutuvpalga osakaal ei tohi ületada 20% teenistuja aastasest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hipalgast.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10. Preemiate maksmise tingimused ja kord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Teenistujatele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 maksta preemiat kauaaegse laitmatu töö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teenistus-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töökohustuste hea tä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itmise eest.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(2) Otsus preemia maksmiseks teenistuskohustuste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kodanikukohuse silmapaistvalt hea tä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itmise eest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erakordse saavutuse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projekti 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petamise eest peab olema motiveeritud.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(3) Ametiasutuse heade tulemuste korral makstakse preemiat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ikidele teenistujatele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rdsetel alustel.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 Katseajal ja distsiplinaarkaristuse kehtivuse ajal preemiat ei maksta.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(5) Samade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ülesannete täitmisega seoses teenistujale lisatasu ja preemiat samaaegselt ei maksta.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nl-NL"/>
        </w:rPr>
        <w:t>. Toetus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 maksmise tingimused ja kord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Teenistujale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 maksta toetust.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Toetuse maksmise juhud ja suuruse määrab kindlaks vallavanem.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(3) Toetusi rakendatakse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ikidele teenistujatele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rdselt.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§ 12.  Hüvitiste maksmise tingimused ja kord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Teenistujatele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 hüvitada mobiiltelefoni kulud ja isikliku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iduauto ameti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või töös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itudeks kasutamise kulud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vajadusel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imaldada kasutada ametiautot. Kulude hüvitamise ja ametiauto kasutamise vajadus mää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ratakse vallavalitsuse korralduse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vallavanem käskkirjaga.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13. Palga maksmise aeg ja viis </w:t>
      </w:r>
    </w:p>
    <w:p w:rsidR="009F4DC3" w:rsidRDefault="000D22BE" w:rsidP="000D22B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Teenistujatele makstakse palka üks kord </w:t>
      </w:r>
      <w:r w:rsidR="009F4DC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kuus, hiljemalt jooksva kuu viimaseks kuupäevaks. Kui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palga ja töötasu maksmise päev on puhkepäev, makstakse palk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 töö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tasu sellele eelneval t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ööpäeval. Kui puhkusele minekul ei ü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ht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 puhkusetasu väljamaksmise pä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ev t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öötasu väljamaksmise pä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evaga, makstakse puhkusele minekule eelnev t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öötasu välja tavalises korras. </w:t>
      </w:r>
    </w:p>
    <w:p w:rsidR="009F4DC3" w:rsidRDefault="000D22BE" w:rsidP="000D22B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Palk kantakse ametiasutuse kulul töötaja poolt vastavas avalduses nä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idatud pa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ngakontole. Pangakonto muutmisest teavitab teenistuja palgaarvestajat kirjalikult.</w:t>
      </w:r>
    </w:p>
    <w:p w:rsidR="009F4DC3" w:rsidRDefault="000D22BE" w:rsidP="000D22B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Teenistujale väljastatakse teatis arvestatud palga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töötasu, puhkusetasu ja neist tehtud kinnipidamiste, teenistuja eest arvestatud sotsiaalmaksu ja töötuskindlustusmakse kohta. Teenistujal on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igus saada selgitusi talle palga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 töötasu määranud isikult ja palgaarvestajalt.</w:t>
      </w:r>
    </w:p>
    <w:p w:rsidR="009F4DC3" w:rsidRDefault="000D22BE" w:rsidP="000D22B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Teenistuja kirjalikul n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usolekul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ib ametiasutus tema palgast v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 w:rsidR="009F4DC3">
        <w:rPr>
          <w:rFonts w:ascii="Times New Roman" w:hAnsi="Times New Roman" w:cs="Times New Roman"/>
          <w:sz w:val="24"/>
          <w:szCs w:val="24"/>
          <w:shd w:val="clear" w:color="auto" w:fill="FFFFFF"/>
        </w:rPr>
        <w:t>i töötasust kinni pidada ametiasutuse arvel tehtavate kulude kehtestatud limiiti ületava summa.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14.  Puhkusetasu arvutamine ja maksmine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Puhkusetasu arvutamise algdokument on vallavanema kinnitatud puhkus</w:t>
      </w:r>
      <w:r w:rsidR="00F76CE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ajakava.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(2) Puhkusetasu arvutatakse Vabariigi Valitsuse määrusega kehtestatud keskmise töötasu maksmise tingimuste ja korra alusel. Olenemata puhkusetasu väljamakse hetkest,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etakse keskmise töötasu arvutamisel aluseks puhkuse algusele eelnevale eelviimasele tööpä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evale eelneval kuuel kalendrikuul teenistuja poolt teenitud palk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töötaja töötasu. Eelneval kuuel kuul muutumatu suurusega palka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töötasu saanule, keskmist töötasu ei arvutata ja maksatakse muutumatu suurusega töötasu. Keskmise töötasu arvutamiseks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ppepuhkuse, isapuhkuse ja tööv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imetuspensionäri puhkuse korral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etakse aluseks puhkuse alguse päevale eelnenud kuuel kalendrikuul teenitud palk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töötasu.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Puhkusetasu (v.a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ppepuhkus, isapuhkus ja lapsepuhkus) arvutatakse teenistujale soodsamatel alustel.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 Puhkusetasu makstakse teenistuja pangakontole eelviimasel tööpäeval enne puhkuse algust, kui tööandja ja töötaja ei ole leppinud kokku teisiti.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15. Haigushüvitise maksmise tingimused ja kord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Haigushüvitis makstakse vastavalt ravikindlustuse seadusele ja arvutatakse Vabariigi Valitsuse määrusega kehtestatud keskmise töötasu maksmise tingimuste ja korra alusel.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16. Tasustamine tasemekoolituse ja tööalase koolitusega seotud õppepuhkuse ajal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Tasemekoolituse ja tööalase koolitusega seotud õppepuhkuste tasustamine toimub vastavalt täiskasvanute koolituse seadusele.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6CE5" w:rsidRDefault="00F76CE5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6CE5" w:rsidRDefault="00F76CE5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17.  Tasustamine ametiasutuse eelarveväliselt rahastatavate projektide korral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(1) Ametiasutuse eelarveväliselt rahastatava projekti rahastamise taotlusest peab nähtuma, kas ja millises mahus on kavas projekti eelarvest maksta projekti täitmisega seotud teenistujale palka (lisatasu).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(2)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hikohal täistöö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ajaga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öötaval teenistujal, kes teeb projekti raames lisatöö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d, on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älisprojekti raames töötamise ajal lubatud kas: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suurendada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hipalka;</w:t>
      </w:r>
    </w:p>
    <w:bookmarkEnd w:id="0"/>
    <w:bookmarkEnd w:id="1"/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saada lisatasu projekti heaks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tatud tundide eest;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saada töötasu töö-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igusliku lepingu alusel.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(3) Projekti meeskonna koosseis (projekti eest vastutava isiku ja meeskonnaliikmete nimed), projektijärgsed ülesanded, projektis töötamise periood ja projekti töö tasustamine vormistatakse vallavanema käskkirjaga ja töötajatel ka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lepinguga.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hipalga suurendamisel arvutatakse projekti raames tehtud töö eest makstav tasu kuu töötundide ja projekti tööajatabelis kajastatud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tundide alusel.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(5) Lisatasu projekti heaks töö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tatud lisatundide eest arvutatakse projekti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ööajatabelis kajastatud töötundide ning projektis lubatud abik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lbliku tunnitasu alusel.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(6) Töö-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igusliku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lepingu alusel saadud tasu arvutatakse projekti töös osaletud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pä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evade võ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i tundide ning lepingus kokkulepitud t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öötasu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projektis lubatud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lb</w:t>
      </w:r>
      <w:r w:rsidR="000D22B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kulude alusel</w:t>
      </w:r>
      <w:r w:rsidR="00FA71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(7) Juhul, kui projekti täitmisega seotud teenistujale makstakse palka (lisatasu) omavahenditest, taastatakse lisatasuna välja makstud summa reservfondi arvelt.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OLE_LINK12"/>
      <w:bookmarkStart w:id="3" w:name="OLE_LINK11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</w:t>
      </w:r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18. Rakendussätted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bookmarkStart w:id="4" w:name="OLE_LINK6"/>
      <w:bookmarkStart w:id="5" w:name="OLE_LINK5"/>
      <w:bookmarkStart w:id="6" w:name="OLE_LINK4"/>
      <w:bookmarkStart w:id="7" w:name="OLE_LINK3"/>
      <w:bookmarkStart w:id="8" w:name="OLE_LINK13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Tunnistada kehtetuks </w:t>
      </w:r>
      <w:r w:rsidR="006D6313">
        <w:rPr>
          <w:rFonts w:ascii="Times New Roman" w:hAnsi="Times New Roman" w:cs="Times New Roman"/>
          <w:sz w:val="24"/>
          <w:szCs w:val="24"/>
          <w:shd w:val="clear" w:color="auto" w:fill="FFFFFF"/>
        </w:rPr>
        <w:t>Aseri Vallavolikogu 23.03.2015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määrus nr 10 „Aseri valla ametiasutuste palgajuhend“</w:t>
      </w:r>
      <w:bookmarkEnd w:id="4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4DC3" w:rsidRDefault="009F4DC3" w:rsidP="00534DD0">
      <w:pPr>
        <w:pStyle w:val="Pealkiri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(2) Tunnistada kehtetuks </w:t>
      </w:r>
      <w:bookmarkStart w:id="9" w:name="OLE_LINK10"/>
      <w:bookmarkStart w:id="10" w:name="OLE_LINK9"/>
      <w:r>
        <w:rPr>
          <w:b w:val="0"/>
          <w:sz w:val="24"/>
          <w:szCs w:val="24"/>
          <w:shd w:val="clear" w:color="auto" w:fill="FFFFFF"/>
        </w:rPr>
        <w:t>Kunda Linnavolikogu 24.03.20</w:t>
      </w:r>
      <w:r w:rsidR="006D6313">
        <w:rPr>
          <w:b w:val="0"/>
          <w:sz w:val="24"/>
          <w:szCs w:val="24"/>
          <w:shd w:val="clear" w:color="auto" w:fill="FFFFFF"/>
        </w:rPr>
        <w:t>09</w:t>
      </w:r>
      <w:r>
        <w:rPr>
          <w:b w:val="0"/>
          <w:sz w:val="24"/>
          <w:szCs w:val="24"/>
          <w:shd w:val="clear" w:color="auto" w:fill="FFFFFF"/>
        </w:rPr>
        <w:t xml:space="preserve"> määrus nr 6 „</w:t>
      </w:r>
      <w:bookmarkEnd w:id="9"/>
      <w:bookmarkEnd w:id="10"/>
      <w:r>
        <w:rPr>
          <w:b w:val="0"/>
          <w:color w:val="000000"/>
          <w:sz w:val="24"/>
          <w:szCs w:val="24"/>
        </w:rPr>
        <w:t>Kunda linna omavalitsusteenistuse ja linnavalitsuse hallatavate asutuste töötajate töö tasustamine</w:t>
      </w:r>
      <w:r>
        <w:rPr>
          <w:b w:val="0"/>
          <w:sz w:val="24"/>
          <w:szCs w:val="24"/>
          <w:shd w:val="clear" w:color="auto" w:fill="FFFFFF"/>
        </w:rPr>
        <w:t>“ osas, mis reguleerib ametiasutuse teenistujate töö tasustamist.</w:t>
      </w:r>
    </w:p>
    <w:p w:rsidR="009F4DC3" w:rsidRDefault="009F4DC3" w:rsidP="00534DD0">
      <w:pPr>
        <w:pStyle w:val="Default"/>
        <w:spacing w:before="4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(3) Tunnistada kehtetuks Viru-N</w:t>
      </w:r>
      <w:r w:rsidR="006D6313">
        <w:rPr>
          <w:rFonts w:ascii="Times New Roman" w:hAnsi="Times New Roman" w:cs="Times New Roman"/>
          <w:sz w:val="24"/>
          <w:szCs w:val="24"/>
          <w:shd w:val="clear" w:color="auto" w:fill="FFFFFF"/>
        </w:rPr>
        <w:t>igula Vallavolikogu 28.02.2013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määrus nr 1 „Viru-Nigula valla ametiasutuste palgajuhend</w:t>
      </w:r>
      <w:bookmarkEnd w:id="8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19. Mää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ruse j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ustumine 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Määrus 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õ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ustub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01.01.2018.</w:t>
      </w:r>
    </w:p>
    <w:p w:rsidR="000D22BE" w:rsidRDefault="000D22BE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2BE" w:rsidRDefault="000D22BE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2BE" w:rsidRDefault="000D22BE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Riho Kutsar</w:t>
      </w:r>
    </w:p>
    <w:p w:rsidR="000D22BE" w:rsidRDefault="000D22BE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allavolikogu esimees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Times" w:hAnsi="Times New Roman" w:cs="Times New Roman"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br w:type="page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lastRenderedPageBreak/>
        <w:t>Lisa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</w:p>
    <w:p w:rsidR="009F4DC3" w:rsidRDefault="009F4DC3" w:rsidP="009F4DC3">
      <w:pPr>
        <w:pStyle w:val="Default"/>
        <w:spacing w:after="40" w:line="30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Viru-Nigula Vallavolikogu 23.11.2017 </w:t>
      </w:r>
    </w:p>
    <w:p w:rsidR="009F4DC3" w:rsidRDefault="009F4DC3" w:rsidP="009F4DC3">
      <w:pPr>
        <w:pStyle w:val="Default"/>
        <w:spacing w:after="40" w:line="300" w:lineRule="atLeast"/>
        <w:jc w:val="right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määrusele nr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4DC3" w:rsidRP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9F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Viru-Nigula Vallavalitsuse teenistujate palgaastmed, palgaastmete palgavahemikud ja teenistuskohtade p</w:t>
      </w:r>
      <w:r w:rsidRPr="009F4D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PT"/>
        </w:rPr>
        <w:t>õhipalgad</w:t>
      </w: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F4DC3" w:rsidRDefault="009F4DC3" w:rsidP="009F4DC3">
      <w:pPr>
        <w:pStyle w:val="Default"/>
        <w:spacing w:after="40" w:line="3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555"/>
        <w:gridCol w:w="2753"/>
        <w:gridCol w:w="2827"/>
      </w:tblGrid>
      <w:tr w:rsidR="009F4DC3" w:rsidRPr="00852589" w:rsidTr="00852589">
        <w:trPr>
          <w:trHeight w:val="279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Pr="00852589" w:rsidRDefault="009F4DC3" w:rsidP="00852589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Teenistusgrupp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Pr="00852589" w:rsidRDefault="009F4DC3" w:rsidP="00852589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Palgaaste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Pr="00852589" w:rsidRDefault="009F4DC3" w:rsidP="00852589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Põhipalga alammäär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Pr="00852589" w:rsidRDefault="009F4DC3" w:rsidP="00852589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Põhipalga ülemmäär</w:t>
            </w:r>
          </w:p>
        </w:tc>
      </w:tr>
      <w:tr w:rsidR="009F4DC3" w:rsidRPr="00852589" w:rsidTr="00852589">
        <w:trPr>
          <w:trHeight w:val="279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Pr="00852589" w:rsidRDefault="00534DD0" w:rsidP="00283067">
            <w:pPr>
              <w:pStyle w:val="Default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Tipp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spetsialistid</w:t>
            </w:r>
            <w:r w:rsidRPr="0085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 keskastm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ejuhid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Default="009F4DC3" w:rsidP="00852589">
            <w:pPr>
              <w:jc w:val="both"/>
            </w:pPr>
            <w:r w:rsidRPr="00852589">
              <w:rPr>
                <w:color w:val="000000"/>
              </w:rPr>
              <w:t>4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C3" w:rsidRDefault="00026476" w:rsidP="00852589">
            <w:pPr>
              <w:jc w:val="both"/>
            </w:pPr>
            <w:r>
              <w:t>€ 1900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C3" w:rsidRDefault="00026476" w:rsidP="00852589">
            <w:pPr>
              <w:jc w:val="both"/>
            </w:pPr>
            <w:r>
              <w:t>€ 2600</w:t>
            </w:r>
          </w:p>
        </w:tc>
      </w:tr>
      <w:tr w:rsidR="009F4DC3" w:rsidRPr="00852589" w:rsidTr="00852589">
        <w:trPr>
          <w:trHeight w:val="53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Pr="00852589" w:rsidRDefault="00534DD0" w:rsidP="00534DD0">
            <w:pPr>
              <w:pStyle w:val="Default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7"/>
            <w:bookmarkStart w:id="13" w:name="OLE_LINK8"/>
            <w:bookmarkStart w:id="14" w:name="OLE_LINK14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Kesk</w:t>
            </w:r>
            <w:r w:rsidR="009F4DC3" w:rsidRPr="0085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astm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espetsialistid</w:t>
            </w:r>
            <w:bookmarkEnd w:id="12"/>
            <w:bookmarkEnd w:id="13"/>
            <w:bookmarkEnd w:id="14"/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Default="009F4DC3" w:rsidP="00852589">
            <w:pPr>
              <w:jc w:val="both"/>
            </w:pPr>
            <w:r w:rsidRPr="00852589">
              <w:rPr>
                <w:color w:val="000000"/>
              </w:rPr>
              <w:t>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C3" w:rsidRDefault="00026476" w:rsidP="00852589">
            <w:pPr>
              <w:jc w:val="both"/>
            </w:pPr>
            <w:r>
              <w:t xml:space="preserve">€ </w:t>
            </w:r>
            <w:r w:rsidR="00BC67B7">
              <w:t>1100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C3" w:rsidRDefault="00026476" w:rsidP="00852589">
            <w:pPr>
              <w:jc w:val="both"/>
            </w:pPr>
            <w:r>
              <w:t>€</w:t>
            </w:r>
            <w:r w:rsidR="00BC67B7">
              <w:t xml:space="preserve"> 2000</w:t>
            </w:r>
          </w:p>
        </w:tc>
      </w:tr>
      <w:tr w:rsidR="009F4DC3" w:rsidRPr="00852589" w:rsidTr="00852589">
        <w:trPr>
          <w:trHeight w:val="53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Pr="00852589" w:rsidRDefault="009F4DC3" w:rsidP="00283067">
            <w:pPr>
              <w:pStyle w:val="Default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Spetsialistid ja tehnilised töötajad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4DC3" w:rsidRDefault="009F4DC3" w:rsidP="00852589">
            <w:pPr>
              <w:jc w:val="both"/>
            </w:pPr>
            <w:r w:rsidRPr="00852589">
              <w:rPr>
                <w:color w:val="000000"/>
              </w:rPr>
              <w:t>2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C3" w:rsidRDefault="00026476" w:rsidP="00852589">
            <w:pPr>
              <w:jc w:val="both"/>
            </w:pPr>
            <w:r>
              <w:t>€</w:t>
            </w:r>
            <w:r w:rsidR="00BC67B7">
              <w:t xml:space="preserve"> 800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C3" w:rsidRDefault="00026476" w:rsidP="00852589">
            <w:pPr>
              <w:jc w:val="both"/>
            </w:pPr>
            <w:r>
              <w:t>€</w:t>
            </w:r>
            <w:r w:rsidR="00BC67B7">
              <w:t xml:space="preserve"> 1500</w:t>
            </w:r>
          </w:p>
        </w:tc>
      </w:tr>
    </w:tbl>
    <w:p w:rsidR="00AC35F4" w:rsidRPr="009F4DC3" w:rsidRDefault="00AC35F4" w:rsidP="009F4DC3"/>
    <w:sectPr w:rsidR="00AC35F4" w:rsidRPr="009F4DC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A1" w:rsidRDefault="009C0EA1">
      <w:r>
        <w:separator/>
      </w:r>
    </w:p>
  </w:endnote>
  <w:endnote w:type="continuationSeparator" w:id="0">
    <w:p w:rsidR="009C0EA1" w:rsidRDefault="009C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F4" w:rsidRDefault="00AC35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A1" w:rsidRDefault="009C0EA1">
      <w:r>
        <w:separator/>
      </w:r>
    </w:p>
  </w:footnote>
  <w:footnote w:type="continuationSeparator" w:id="0">
    <w:p w:rsidR="009C0EA1" w:rsidRDefault="009C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F4" w:rsidRDefault="00AC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AA4"/>
    <w:multiLevelType w:val="multilevel"/>
    <w:tmpl w:val="86AE5F64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)%2)"/>
      <w:lvlJc w:val="left"/>
      <w:pPr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)%2)%3)"/>
      <w:lvlJc w:val="left"/>
      <w:pPr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)%3)%4)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)%3)%4)%5)"/>
      <w:lvlJc w:val="left"/>
      <w:pPr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)%3)%4)%5)%6)"/>
      <w:lvlJc w:val="left"/>
      <w:pPr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)%3)%4)%5)%6)%7)"/>
      <w:lvlJc w:val="left"/>
      <w:pPr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)%3)%4)%5)%6)%7)%8)"/>
      <w:lvlJc w:val="left"/>
      <w:pPr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)%3)%4)%5)%6)%7)%8)%9)"/>
      <w:lvlJc w:val="left"/>
      <w:pPr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466629"/>
    <w:multiLevelType w:val="hybridMultilevel"/>
    <w:tmpl w:val="1AAEE888"/>
    <w:lvl w:ilvl="0" w:tplc="9BA2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042"/>
    <w:multiLevelType w:val="hybridMultilevel"/>
    <w:tmpl w:val="D8B8B478"/>
    <w:numStyleLink w:val="Lettered"/>
  </w:abstractNum>
  <w:abstractNum w:abstractNumId="3" w15:restartNumberingAfterBreak="0">
    <w:nsid w:val="25FD0E6B"/>
    <w:multiLevelType w:val="hybridMultilevel"/>
    <w:tmpl w:val="43F2199E"/>
    <w:lvl w:ilvl="0" w:tplc="75A2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E02"/>
    <w:multiLevelType w:val="hybridMultilevel"/>
    <w:tmpl w:val="28A6F478"/>
    <w:lvl w:ilvl="0" w:tplc="7E062A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9C661E"/>
    <w:multiLevelType w:val="hybridMultilevel"/>
    <w:tmpl w:val="D8B8B478"/>
    <w:styleLink w:val="Lettered"/>
    <w:lvl w:ilvl="0" w:tplc="14E6F81C">
      <w:start w:val="1"/>
      <w:numFmt w:val="decimal"/>
      <w:suff w:val="nothing"/>
      <w:lvlText w:val="(%1)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E8589C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70BD2C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78DB7C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6E150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1CD17C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4CD0BA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6A8846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AD96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startOverride w:val="1"/>
      <w:lvl w:ilvl="0">
        <w:start w:val="1"/>
        <w:numFmt w:val="decimal"/>
        <w:suff w:val="nothing"/>
        <w:lvlText w:val="(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(%1)(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(%1)(%2)(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(%1)(%2)(%3)(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(%1)(%2)(%3)(%4)(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(%1)(%2)(%3)(%4)(%5)(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(%1)(%2)(%3)(%4)(%5)(%6)(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(%1)(%2)(%3)(%4)(%5)(%6)(%7)(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(%1)(%2)(%3)(%4)(%5)(%6)(%7)(%8)(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nothing"/>
        <w:lvlText w:val="(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(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(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(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(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(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(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(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(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  <w:lvl w:ilvl="0">
        <w:start w:val="1"/>
        <w:numFmt w:val="decimal"/>
        <w:suff w:val="nothing"/>
        <w:lvlText w:val="(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(%1)(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(%1)(%2)(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(%1)(%2)(%3)(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(%1)(%2)(%3)(%4)(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(%1)(%2)(%3)(%4)(%5)(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(%1)(%2)(%3)(%4)(%5)(%6)(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(%1)(%2)(%3)(%4)(%5)(%6)(%7)(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(%1)(%2)(%3)(%4)(%5)(%6)(%7)(%8)(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decimal"/>
        <w:suff w:val="nothing"/>
        <w:lvlText w:val="(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(%1)(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(%1)(%2)(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(%1)(%2)(%3)(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1)(%2)(%3)(%4)(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1)(%2)(%3)(%4)(%5)(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1)(%2)(%3)(%4)(%5)(%6)(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1)(%2)(%3)(%4)(%5)(%6)(%7)(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1)(%2)(%3)(%4)(%5)(%6)(%7)(%8)(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nothing"/>
        <w:lvlText w:val="(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(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(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(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1"/>
        <w:numFmt w:val="decimal"/>
        <w:suff w:val="nothing"/>
        <w:lvlText w:val="(%1)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(%1)(%2)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(%1)(%2)(%3)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(%1)(%2)(%3)(%4)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1)(%2)(%3)(%4)(%5)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1)(%2)(%3)(%4)(%5)(%6)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1)(%2)(%3)(%4)(%5)(%6)(%7)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1)(%2)(%3)(%4)(%5)(%6)(%7)(%8)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1)(%2)(%3)(%4)(%5)(%6)(%7)(%8)(%9)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F4"/>
    <w:rsid w:val="00026476"/>
    <w:rsid w:val="000B501C"/>
    <w:rsid w:val="000D22BE"/>
    <w:rsid w:val="001D187A"/>
    <w:rsid w:val="00283067"/>
    <w:rsid w:val="004348E1"/>
    <w:rsid w:val="00534DD0"/>
    <w:rsid w:val="005725AD"/>
    <w:rsid w:val="005B34EB"/>
    <w:rsid w:val="006D6313"/>
    <w:rsid w:val="00852589"/>
    <w:rsid w:val="008B0BC2"/>
    <w:rsid w:val="009B0A15"/>
    <w:rsid w:val="009B76ED"/>
    <w:rsid w:val="009C0EA1"/>
    <w:rsid w:val="009C19C4"/>
    <w:rsid w:val="009E0668"/>
    <w:rsid w:val="009F4DC3"/>
    <w:rsid w:val="00A547CF"/>
    <w:rsid w:val="00AC35F4"/>
    <w:rsid w:val="00AF563A"/>
    <w:rsid w:val="00B61716"/>
    <w:rsid w:val="00B6659C"/>
    <w:rsid w:val="00BC67B7"/>
    <w:rsid w:val="00C26758"/>
    <w:rsid w:val="00CB76EF"/>
    <w:rsid w:val="00D3489E"/>
    <w:rsid w:val="00F66C97"/>
    <w:rsid w:val="00F76CE5"/>
    <w:rsid w:val="00FA71FF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8DF"/>
  <w15:chartTrackingRefBased/>
  <w15:docId w15:val="{1E86838E-D9F4-4ABC-80E0-639FE53F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Pealkiri1">
    <w:name w:val="heading 1"/>
    <w:basedOn w:val="Normaallaad"/>
    <w:link w:val="Pealkiri1Mrk"/>
    <w:uiPriority w:val="9"/>
    <w:qFormat/>
    <w:rsid w:val="005725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Pealkiri1Mrk">
    <w:name w:val="Pealkiri 1 Märk"/>
    <w:link w:val="Pealkiri1"/>
    <w:uiPriority w:val="9"/>
    <w:rsid w:val="005725A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customStyle="1" w:styleId="Normaaltabel1">
    <w:name w:val="Normaaltabel1"/>
    <w:uiPriority w:val="99"/>
    <w:semiHidden/>
    <w:rsid w:val="009F4DC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D69C-0E80-4346-8666-65D7874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2371</Words>
  <Characters>13752</Characters>
  <Application>Microsoft Office Word</Application>
  <DocSecurity>0</DocSecurity>
  <Lines>114</Lines>
  <Paragraphs>32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cp:lastModifiedBy>Kasutaja</cp:lastModifiedBy>
  <cp:revision>3</cp:revision>
  <dcterms:created xsi:type="dcterms:W3CDTF">2017-11-17T11:57:00Z</dcterms:created>
  <dcterms:modified xsi:type="dcterms:W3CDTF">2017-11-18T17:55:00Z</dcterms:modified>
</cp:coreProperties>
</file>